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15</w:t>
      </w:r>
      <w:r>
        <w:rPr>
          <w:rFonts w:hint="eastAsia" w:ascii="宋体" w:hAnsi="宋体"/>
          <w:color w:val="000000"/>
          <w:sz w:val="32"/>
          <w:szCs w:val="32"/>
          <w:lang w:eastAsia="zh-CN"/>
        </w:rPr>
        <w:t>号</w:t>
      </w:r>
      <w:bookmarkEnd w:id="0"/>
    </w:p>
    <w:p w14:paraId="274F2E2E">
      <w:pPr>
        <w:spacing w:line="340" w:lineRule="exact"/>
        <w:jc w:val="center"/>
      </w:pPr>
    </w:p>
    <w:p w14:paraId="66141013">
      <w:pPr>
        <w:keepNext w:val="0"/>
        <w:keepLines w:val="0"/>
        <w:pageBreakBefore w:val="0"/>
        <w:widowControl w:val="0"/>
        <w:kinsoku/>
        <w:wordWrap/>
        <w:overflowPunct/>
        <w:topLinePunct w:val="0"/>
        <w:autoSpaceDE/>
        <w:autoSpaceDN/>
        <w:bidi w:val="0"/>
        <w:adjustRightInd/>
        <w:snapToGrid/>
        <w:spacing w:before="150" w:beforeLines="50" w:line="360" w:lineRule="auto"/>
        <w:jc w:val="center"/>
        <w:textAlignment w:val="auto"/>
        <w:rPr>
          <w:rFonts w:hint="eastAsia" w:asciiTheme="majorEastAsia" w:hAnsiTheme="majorEastAsia" w:eastAsiaTheme="majorEastAsia"/>
          <w:b/>
          <w:sz w:val="44"/>
          <w:szCs w:val="36"/>
          <w:lang w:eastAsia="zh-CN"/>
        </w:rPr>
      </w:pPr>
      <w:r>
        <w:rPr>
          <w:rFonts w:hint="eastAsia" w:asciiTheme="majorEastAsia" w:hAnsiTheme="majorEastAsia" w:eastAsiaTheme="majorEastAsia"/>
          <w:b/>
          <w:sz w:val="44"/>
          <w:szCs w:val="36"/>
          <w:lang w:eastAsia="zh-CN"/>
        </w:rPr>
        <w:t>关于组织申报2026年度国家社会科学基金艺术学项目的通知</w:t>
      </w:r>
    </w:p>
    <w:p w14:paraId="1E11DABE">
      <w:pPr>
        <w:keepNext w:val="0"/>
        <w:keepLines w:val="0"/>
        <w:pageBreakBefore w:val="0"/>
        <w:widowControl w:val="0"/>
        <w:kinsoku/>
        <w:wordWrap/>
        <w:overflowPunct/>
        <w:topLinePunct w:val="0"/>
        <w:autoSpaceDE/>
        <w:autoSpaceDN/>
        <w:bidi w:val="0"/>
        <w:adjustRightInd/>
        <w:snapToGrid/>
        <w:spacing w:before="150" w:beforeLines="50" w:line="360" w:lineRule="auto"/>
        <w:jc w:val="both"/>
        <w:textAlignment w:val="auto"/>
        <w:rPr>
          <w:rFonts w:ascii="仿宋" w:hAnsi="仿宋" w:eastAsia="仿宋"/>
          <w:sz w:val="30"/>
          <w:szCs w:val="30"/>
          <w:lang w:eastAsia="zh-CN"/>
        </w:rPr>
      </w:pPr>
      <w:r>
        <w:rPr>
          <w:rFonts w:hint="eastAsia" w:ascii="仿宋" w:hAnsi="仿宋" w:eastAsia="仿宋"/>
          <w:sz w:val="30"/>
          <w:szCs w:val="30"/>
          <w:lang w:eastAsia="zh-CN"/>
        </w:rPr>
        <w:t>学校各单位：</w:t>
      </w:r>
    </w:p>
    <w:p w14:paraId="3D1C1F85">
      <w:pPr>
        <w:spacing w:line="360" w:lineRule="auto"/>
        <w:ind w:firstLine="600" w:firstLineChars="200"/>
        <w:jc w:val="both"/>
        <w:rPr>
          <w:rFonts w:hint="eastAsia" w:ascii="仿宋" w:hAnsi="仿宋" w:eastAsia="仿宋"/>
          <w:sz w:val="30"/>
          <w:szCs w:val="30"/>
          <w:lang w:eastAsia="zh-CN"/>
        </w:rPr>
      </w:pPr>
      <w:r>
        <w:rPr>
          <w:rFonts w:hint="eastAsia" w:ascii="仿宋" w:hAnsi="仿宋" w:eastAsia="仿宋"/>
          <w:sz w:val="30"/>
          <w:szCs w:val="30"/>
          <w:lang w:val="en-US" w:eastAsia="zh-CN"/>
        </w:rPr>
        <w:t>依据全国艺术科学规划领导小组办公室《</w:t>
      </w:r>
      <w:r>
        <w:rPr>
          <w:rFonts w:hint="eastAsia" w:ascii="仿宋" w:hAnsi="仿宋" w:eastAsia="仿宋"/>
          <w:sz w:val="30"/>
          <w:szCs w:val="30"/>
          <w:lang w:eastAsia="zh-CN"/>
        </w:rPr>
        <w:t>2026年国家社科基金艺术学年度项目申报公告</w:t>
      </w:r>
      <w:r>
        <w:rPr>
          <w:rFonts w:hint="eastAsia" w:ascii="仿宋" w:hAnsi="仿宋" w:eastAsia="仿宋"/>
          <w:sz w:val="30"/>
          <w:szCs w:val="30"/>
          <w:lang w:val="en-US" w:eastAsia="zh-CN"/>
        </w:rPr>
        <w:t>》，</w:t>
      </w:r>
      <w:r>
        <w:rPr>
          <w:rFonts w:hint="eastAsia" w:ascii="仿宋" w:hAnsi="仿宋" w:eastAsia="仿宋"/>
          <w:sz w:val="30"/>
          <w:szCs w:val="30"/>
          <w:lang w:eastAsia="zh-CN"/>
        </w:rPr>
        <w:t>学校组织开展相关项目的申报工作，请有意申报该项目的教师按文件要求进行申报。</w:t>
      </w:r>
    </w:p>
    <w:p w14:paraId="3F9F103E">
      <w:pPr>
        <w:spacing w:line="360" w:lineRule="auto"/>
        <w:ind w:firstLine="600" w:firstLineChars="200"/>
        <w:jc w:val="both"/>
        <w:rPr>
          <w:rFonts w:hint="eastAsia" w:ascii="仿宋" w:hAnsi="仿宋" w:eastAsia="仿宋"/>
          <w:color w:val="auto"/>
          <w:sz w:val="30"/>
          <w:szCs w:val="30"/>
          <w:highlight w:val="none"/>
          <w:lang w:val="en-US" w:eastAsia="zh-CN"/>
        </w:rPr>
      </w:pPr>
      <w:r>
        <w:rPr>
          <w:rFonts w:hint="eastAsia" w:ascii="仿宋" w:hAnsi="仿宋" w:eastAsia="仿宋"/>
          <w:sz w:val="30"/>
          <w:szCs w:val="30"/>
          <w:highlight w:val="none"/>
          <w:lang w:eastAsia="zh-CN"/>
        </w:rPr>
        <w:t>申报人</w:t>
      </w:r>
      <w:r>
        <w:rPr>
          <w:rFonts w:hint="eastAsia" w:ascii="仿宋" w:hAnsi="仿宋" w:eastAsia="仿宋"/>
          <w:sz w:val="30"/>
          <w:szCs w:val="30"/>
          <w:highlight w:val="none"/>
          <w:lang w:val="en-US" w:eastAsia="zh-CN"/>
        </w:rPr>
        <w:t>请于</w:t>
      </w:r>
      <w:r>
        <w:rPr>
          <w:rFonts w:hint="eastAsia" w:ascii="仿宋" w:hAnsi="仿宋" w:eastAsia="仿宋"/>
          <w:b/>
          <w:bCs/>
          <w:color w:val="FF0000"/>
          <w:sz w:val="30"/>
          <w:szCs w:val="30"/>
          <w:highlight w:val="none"/>
          <w:lang w:val="en-US" w:eastAsia="zh-CN"/>
        </w:rPr>
        <w:t>3月29日前</w:t>
      </w:r>
      <w:r>
        <w:rPr>
          <w:rFonts w:hint="eastAsia" w:ascii="仿宋" w:hAnsi="仿宋" w:eastAsia="仿宋"/>
          <w:sz w:val="30"/>
          <w:szCs w:val="30"/>
          <w:highlight w:val="none"/>
          <w:lang w:val="en-US" w:eastAsia="zh-CN"/>
        </w:rPr>
        <w:t>将申报书</w:t>
      </w:r>
      <w:r>
        <w:rPr>
          <w:rFonts w:hint="eastAsia" w:ascii="仿宋" w:hAnsi="仿宋" w:eastAsia="仿宋"/>
          <w:sz w:val="30"/>
          <w:szCs w:val="30"/>
          <w:highlight w:val="none"/>
          <w:lang w:eastAsia="zh-CN"/>
        </w:rPr>
        <w:t>通过“珠海科技学院科研服务平台”(https://kypt.zcst.edu.cn/)提交，提交步骤如下：进入系统-校级</w:t>
      </w:r>
      <w:r>
        <w:rPr>
          <w:rFonts w:hint="eastAsia" w:ascii="仿宋" w:hAnsi="仿宋" w:eastAsia="仿宋"/>
          <w:sz w:val="30"/>
          <w:szCs w:val="30"/>
          <w:highlight w:val="none"/>
          <w:lang w:val="en-US" w:eastAsia="zh-CN"/>
        </w:rPr>
        <w:t>项目</w:t>
      </w:r>
      <w:r>
        <w:rPr>
          <w:rFonts w:hint="eastAsia" w:ascii="仿宋" w:hAnsi="仿宋" w:eastAsia="仿宋"/>
          <w:sz w:val="30"/>
          <w:szCs w:val="30"/>
          <w:highlight w:val="none"/>
          <w:lang w:eastAsia="zh-CN"/>
        </w:rPr>
        <w:t>申报-按具体流程填</w:t>
      </w:r>
      <w:r>
        <w:rPr>
          <w:rFonts w:hint="eastAsia" w:ascii="仿宋" w:hAnsi="仿宋" w:eastAsia="仿宋"/>
          <w:color w:val="auto"/>
          <w:sz w:val="30"/>
          <w:szCs w:val="30"/>
          <w:highlight w:val="none"/>
          <w:lang w:eastAsia="zh-CN"/>
        </w:rPr>
        <w:t>报，学校将统一组织相关专家进行审议并给予指导意见</w:t>
      </w:r>
      <w:r>
        <w:rPr>
          <w:rFonts w:hint="eastAsia" w:ascii="仿宋" w:hAnsi="仿宋" w:eastAsia="仿宋"/>
          <w:color w:val="auto"/>
          <w:sz w:val="30"/>
          <w:szCs w:val="30"/>
          <w:highlight w:val="none"/>
          <w:lang w:val="en-US" w:eastAsia="zh-CN"/>
        </w:rPr>
        <w:t>。</w:t>
      </w:r>
    </w:p>
    <w:p w14:paraId="6A49DFED">
      <w:pPr>
        <w:spacing w:line="360" w:lineRule="auto"/>
        <w:ind w:firstLine="600" w:firstLineChars="200"/>
        <w:jc w:val="both"/>
        <w:rPr>
          <w:rFonts w:hint="default" w:ascii="仿宋" w:hAnsi="仿宋" w:eastAsia="仿宋"/>
          <w:color w:val="auto"/>
          <w:sz w:val="30"/>
          <w:szCs w:val="30"/>
          <w:highlight w:val="none"/>
          <w:lang w:val="en-US" w:eastAsia="zh-CN"/>
        </w:rPr>
      </w:pPr>
      <w:r>
        <w:rPr>
          <w:rFonts w:hint="default" w:ascii="仿宋" w:hAnsi="仿宋" w:eastAsia="仿宋"/>
          <w:color w:val="auto"/>
          <w:sz w:val="30"/>
          <w:szCs w:val="30"/>
          <w:highlight w:val="none"/>
          <w:lang w:val="en-US" w:eastAsia="zh-CN"/>
        </w:rPr>
        <w:t>全国艺术科学规划项目申报管理系统截止提交时间4月6日。</w:t>
      </w:r>
    </w:p>
    <w:p w14:paraId="5915065C">
      <w:pPr>
        <w:numPr>
          <w:ilvl w:val="0"/>
          <w:numId w:val="1"/>
        </w:numPr>
        <w:spacing w:line="360" w:lineRule="auto"/>
        <w:ind w:firstLine="602" w:firstLineChars="200"/>
        <w:jc w:val="both"/>
        <w:rPr>
          <w:rFonts w:hint="eastAsia" w:ascii="仿宋" w:hAnsi="仿宋" w:eastAsia="仿宋"/>
          <w:b/>
          <w:bCs/>
          <w:sz w:val="30"/>
          <w:szCs w:val="30"/>
          <w:highlight w:val="none"/>
          <w:lang w:val="en-US" w:eastAsia="zh-CN"/>
        </w:rPr>
      </w:pPr>
      <w:r>
        <w:rPr>
          <w:rFonts w:hint="eastAsia" w:ascii="仿宋" w:hAnsi="仿宋" w:eastAsia="仿宋"/>
          <w:b/>
          <w:bCs/>
          <w:sz w:val="30"/>
          <w:szCs w:val="30"/>
          <w:highlight w:val="none"/>
          <w:lang w:val="en-US" w:eastAsia="zh-CN"/>
        </w:rPr>
        <w:t>项目类别及推荐名额</w:t>
      </w:r>
    </w:p>
    <w:p w14:paraId="2FF13B48">
      <w:pPr>
        <w:numPr>
          <w:ilvl w:val="0"/>
          <w:numId w:val="2"/>
        </w:numPr>
        <w:spacing w:line="360" w:lineRule="auto"/>
        <w:ind w:firstLine="600" w:firstLineChars="200"/>
        <w:jc w:val="both"/>
        <w:rPr>
          <w:rFonts w:hint="eastAsia" w:ascii="仿宋" w:hAnsi="仿宋" w:eastAsia="仿宋"/>
          <w:sz w:val="30"/>
          <w:szCs w:val="30"/>
          <w:highlight w:val="none"/>
          <w:lang w:val="en-US" w:eastAsia="zh-CN"/>
        </w:rPr>
      </w:pPr>
      <w:r>
        <w:rPr>
          <w:rFonts w:hint="eastAsia" w:ascii="仿宋" w:hAnsi="仿宋" w:eastAsia="仿宋"/>
          <w:sz w:val="30"/>
          <w:szCs w:val="30"/>
          <w:highlight w:val="none"/>
          <w:lang w:val="en-US" w:eastAsia="zh-CN"/>
        </w:rPr>
        <w:t>本次受理申报的国家社科基金艺术学年度项目包括一般项目、重点项目、青年项目、西部项目。</w:t>
      </w:r>
    </w:p>
    <w:p w14:paraId="3750E5DF">
      <w:pPr>
        <w:numPr>
          <w:ilvl w:val="0"/>
          <w:numId w:val="2"/>
        </w:numPr>
        <w:spacing w:line="360" w:lineRule="auto"/>
        <w:ind w:firstLine="600" w:firstLineChars="200"/>
        <w:jc w:val="both"/>
        <w:rPr>
          <w:rFonts w:hint="eastAsia" w:ascii="仿宋" w:hAnsi="仿宋" w:eastAsia="仿宋"/>
          <w:sz w:val="30"/>
          <w:szCs w:val="30"/>
          <w:highlight w:val="none"/>
          <w:lang w:val="en-US" w:eastAsia="zh-CN"/>
        </w:rPr>
      </w:pPr>
      <w:r>
        <w:rPr>
          <w:rFonts w:hint="eastAsia" w:ascii="仿宋" w:hAnsi="仿宋" w:eastAsia="仿宋"/>
          <w:sz w:val="30"/>
          <w:szCs w:val="30"/>
          <w:highlight w:val="none"/>
          <w:lang w:val="en-US" w:eastAsia="zh-CN"/>
        </w:rPr>
        <w:t>国家社科基金艺术学年度项目的资助额度参考标准：重点项目35万元，一般项目、青年项目、西部项目20万元。最终确定的资助额度在适当范围内上下浮动，申请人应按照《国家社会科学基金项目资金管理办法》的要求，根据实际需要编制科学合理的经费预算。</w:t>
      </w:r>
    </w:p>
    <w:p w14:paraId="4CF88523">
      <w:pPr>
        <w:numPr>
          <w:ilvl w:val="0"/>
          <w:numId w:val="2"/>
        </w:numPr>
        <w:spacing w:line="360" w:lineRule="auto"/>
        <w:ind w:firstLine="600" w:firstLineChars="200"/>
        <w:jc w:val="both"/>
        <w:rPr>
          <w:rFonts w:hint="eastAsia" w:ascii="仿宋" w:hAnsi="仿宋" w:eastAsia="仿宋"/>
          <w:sz w:val="30"/>
          <w:szCs w:val="30"/>
          <w:highlight w:val="none"/>
          <w:lang w:val="en-US" w:eastAsia="zh-CN"/>
        </w:rPr>
      </w:pPr>
      <w:r>
        <w:rPr>
          <w:rFonts w:hint="eastAsia" w:ascii="仿宋" w:hAnsi="仿宋" w:eastAsia="仿宋"/>
          <w:sz w:val="30"/>
          <w:szCs w:val="30"/>
          <w:highlight w:val="none"/>
          <w:lang w:val="en-US" w:eastAsia="zh-CN"/>
        </w:rPr>
        <w:t>国家社科基金艺术学年度项目完成时限一般不超过5年，其中基础理论研究一般为3—5年，应用对策研究一般为2—3年。</w:t>
      </w:r>
    </w:p>
    <w:p w14:paraId="04F2E7A4">
      <w:pPr>
        <w:spacing w:line="360" w:lineRule="auto"/>
        <w:ind w:firstLine="600" w:firstLineChars="200"/>
        <w:jc w:val="both"/>
        <w:rPr>
          <w:rFonts w:hint="eastAsia" w:ascii="仿宋" w:hAnsi="仿宋" w:eastAsia="仿宋"/>
          <w:sz w:val="30"/>
          <w:szCs w:val="30"/>
          <w:highlight w:val="none"/>
          <w:lang w:val="en-US" w:eastAsia="zh-CN"/>
        </w:rPr>
      </w:pPr>
      <w:r>
        <w:rPr>
          <w:rFonts w:hint="eastAsia" w:ascii="仿宋" w:hAnsi="仿宋" w:eastAsia="仿宋"/>
          <w:sz w:val="30"/>
          <w:szCs w:val="30"/>
          <w:lang w:val="en-US" w:eastAsia="zh-CN"/>
        </w:rPr>
        <w:t>4.学校可推荐申报1项。</w:t>
      </w:r>
    </w:p>
    <w:p w14:paraId="4D4D07CD">
      <w:pPr>
        <w:numPr>
          <w:ilvl w:val="0"/>
          <w:numId w:val="0"/>
        </w:numPr>
        <w:spacing w:line="360" w:lineRule="auto"/>
        <w:ind w:firstLine="602" w:firstLineChars="200"/>
        <w:jc w:val="both"/>
        <w:rPr>
          <w:rFonts w:hint="eastAsia" w:ascii="仿宋" w:hAnsi="仿宋" w:eastAsia="仿宋"/>
          <w:b/>
          <w:bCs/>
          <w:sz w:val="30"/>
          <w:szCs w:val="30"/>
          <w:highlight w:val="none"/>
          <w:lang w:val="en-US" w:eastAsia="zh-CN"/>
        </w:rPr>
      </w:pPr>
      <w:r>
        <w:rPr>
          <w:rFonts w:hint="eastAsia" w:ascii="仿宋" w:hAnsi="仿宋" w:eastAsia="仿宋"/>
          <w:b/>
          <w:bCs/>
          <w:sz w:val="30"/>
          <w:szCs w:val="30"/>
          <w:highlight w:val="none"/>
          <w:lang w:val="en-US" w:eastAsia="zh-CN"/>
        </w:rPr>
        <w:t>二、申请人申报条件</w:t>
      </w:r>
    </w:p>
    <w:p w14:paraId="6400FD34">
      <w:pPr>
        <w:numPr>
          <w:ilvl w:val="0"/>
          <w:numId w:val="0"/>
        </w:numPr>
        <w:spacing w:line="360" w:lineRule="auto"/>
        <w:ind w:firstLine="600" w:firstLineChars="200"/>
        <w:jc w:val="both"/>
        <w:rPr>
          <w:rFonts w:hint="eastAsia" w:ascii="仿宋" w:hAnsi="仿宋" w:eastAsia="仿宋"/>
          <w:sz w:val="30"/>
          <w:szCs w:val="30"/>
          <w:highlight w:val="none"/>
          <w:lang w:val="en-US" w:eastAsia="zh-CN"/>
        </w:rPr>
      </w:pPr>
      <w:r>
        <w:rPr>
          <w:rFonts w:hint="eastAsia" w:ascii="仿宋" w:hAnsi="仿宋" w:eastAsia="仿宋"/>
          <w:sz w:val="30"/>
          <w:szCs w:val="30"/>
          <w:highlight w:val="none"/>
          <w:lang w:val="en-US" w:eastAsia="zh-CN"/>
        </w:rPr>
        <w:t>1.重点项目和一般项目：具有副高级以上（含）专业技术职称或具有博士学位。</w:t>
      </w:r>
    </w:p>
    <w:p w14:paraId="4584D759">
      <w:pPr>
        <w:numPr>
          <w:ilvl w:val="0"/>
          <w:numId w:val="0"/>
        </w:numPr>
        <w:spacing w:line="360" w:lineRule="auto"/>
        <w:ind w:firstLine="600" w:firstLineChars="200"/>
        <w:jc w:val="both"/>
        <w:rPr>
          <w:rFonts w:hint="eastAsia" w:ascii="仿宋" w:hAnsi="仿宋" w:eastAsia="仿宋"/>
          <w:sz w:val="30"/>
          <w:szCs w:val="30"/>
          <w:highlight w:val="none"/>
          <w:lang w:val="en-US" w:eastAsia="zh-CN"/>
        </w:rPr>
      </w:pPr>
      <w:r>
        <w:rPr>
          <w:rFonts w:hint="eastAsia" w:ascii="仿宋" w:hAnsi="仿宋" w:eastAsia="仿宋"/>
          <w:sz w:val="30"/>
          <w:szCs w:val="30"/>
          <w:highlight w:val="none"/>
          <w:lang w:val="en-US" w:eastAsia="zh-CN"/>
        </w:rPr>
        <w:t>2.青年项目：男性申请人年龄不超过35周岁（1991年4月10日后出生），女性申请人年龄不超过40周岁（1986年4月10日后出生）。</w:t>
      </w:r>
    </w:p>
    <w:p w14:paraId="32FF6F52">
      <w:pPr>
        <w:numPr>
          <w:ilvl w:val="0"/>
          <w:numId w:val="0"/>
        </w:numPr>
        <w:spacing w:line="360" w:lineRule="auto"/>
        <w:ind w:firstLine="600" w:firstLineChars="200"/>
        <w:jc w:val="both"/>
        <w:rPr>
          <w:rFonts w:hint="eastAsia" w:ascii="仿宋" w:hAnsi="仿宋" w:eastAsia="仿宋"/>
          <w:sz w:val="30"/>
          <w:szCs w:val="30"/>
          <w:highlight w:val="none"/>
          <w:lang w:val="en-US" w:eastAsia="zh-CN"/>
        </w:rPr>
      </w:pPr>
      <w:r>
        <w:rPr>
          <w:rFonts w:hint="eastAsia" w:ascii="仿宋" w:hAnsi="仿宋" w:eastAsia="仿宋"/>
          <w:sz w:val="30"/>
          <w:szCs w:val="30"/>
          <w:highlight w:val="none"/>
          <w:lang w:val="en-US" w:eastAsia="zh-CN"/>
        </w:rPr>
        <w:t>3.各项目课题组列入研究成员须征得本人同意，否则视为违规申报。申请人可根据实际研究需要，吸收境外研究人员作为课题组成员。</w:t>
      </w:r>
    </w:p>
    <w:p w14:paraId="5DC049E1">
      <w:pPr>
        <w:numPr>
          <w:ilvl w:val="0"/>
          <w:numId w:val="0"/>
        </w:numPr>
        <w:spacing w:line="360" w:lineRule="auto"/>
        <w:ind w:firstLine="600" w:firstLineChars="200"/>
        <w:jc w:val="both"/>
        <w:rPr>
          <w:rFonts w:hint="default" w:ascii="仿宋" w:hAnsi="仿宋" w:eastAsia="仿宋"/>
          <w:sz w:val="30"/>
          <w:szCs w:val="30"/>
          <w:highlight w:val="none"/>
          <w:lang w:val="en-US" w:eastAsia="zh-CN"/>
        </w:rPr>
      </w:pPr>
      <w:r>
        <w:rPr>
          <w:rFonts w:hint="eastAsia" w:ascii="仿宋" w:hAnsi="仿宋" w:eastAsia="仿宋"/>
          <w:sz w:val="30"/>
          <w:szCs w:val="30"/>
          <w:highlight w:val="none"/>
          <w:lang w:val="en-US" w:eastAsia="zh-CN"/>
        </w:rPr>
        <w:t>4.文化和旅游部机关工作人员不能申请或者作为课题组成员参与申请。</w:t>
      </w:r>
      <w:bookmarkStart w:id="1" w:name="_GoBack"/>
      <w:bookmarkEnd w:id="1"/>
    </w:p>
    <w:p w14:paraId="50307A83">
      <w:pPr>
        <w:numPr>
          <w:ilvl w:val="0"/>
          <w:numId w:val="0"/>
        </w:numPr>
        <w:spacing w:line="360" w:lineRule="auto"/>
        <w:ind w:firstLine="602" w:firstLineChars="200"/>
        <w:jc w:val="both"/>
        <w:rPr>
          <w:rFonts w:hint="default" w:ascii="仿宋" w:hAnsi="仿宋" w:eastAsia="仿宋"/>
          <w:b/>
          <w:bCs/>
          <w:sz w:val="30"/>
          <w:szCs w:val="30"/>
          <w:highlight w:val="none"/>
          <w:lang w:val="en-US" w:eastAsia="zh-CN"/>
        </w:rPr>
      </w:pPr>
      <w:r>
        <w:rPr>
          <w:rFonts w:hint="eastAsia" w:ascii="仿宋" w:hAnsi="仿宋" w:eastAsia="仿宋"/>
          <w:b/>
          <w:bCs/>
          <w:sz w:val="30"/>
          <w:szCs w:val="30"/>
          <w:highlight w:val="none"/>
          <w:lang w:val="en-US" w:eastAsia="zh-CN"/>
        </w:rPr>
        <w:t>三、注意事项</w:t>
      </w:r>
    </w:p>
    <w:p w14:paraId="254385B9">
      <w:pPr>
        <w:keepNext w:val="0"/>
        <w:keepLines w:val="0"/>
        <w:pageBreakBefore w:val="0"/>
        <w:kinsoku/>
        <w:wordWrap/>
        <w:overflowPunct/>
        <w:topLinePunct w:val="0"/>
        <w:autoSpaceDE/>
        <w:autoSpaceDN/>
        <w:bidi w:val="0"/>
        <w:adjustRightInd/>
        <w:snapToGrid/>
        <w:spacing w:line="360" w:lineRule="auto"/>
        <w:ind w:firstLine="600" w:firstLineChars="200"/>
        <w:jc w:val="both"/>
        <w:textAlignment w:val="auto"/>
        <w:rPr>
          <w:rFonts w:hint="eastAsia" w:ascii="仿宋" w:hAnsi="仿宋" w:eastAsia="仿宋" w:cstheme="minorBidi"/>
          <w:color w:val="FF0000"/>
          <w:sz w:val="30"/>
          <w:szCs w:val="30"/>
          <w:highlight w:val="none"/>
          <w:lang w:val="en-US" w:eastAsia="zh-CN" w:bidi="ar-SA"/>
        </w:rPr>
      </w:pPr>
      <w:r>
        <w:rPr>
          <w:rFonts w:hint="eastAsia" w:ascii="仿宋" w:hAnsi="仿宋" w:eastAsia="仿宋" w:cstheme="minorBidi"/>
          <w:sz w:val="30"/>
          <w:szCs w:val="30"/>
          <w:highlight w:val="none"/>
          <w:lang w:val="en-US" w:eastAsia="zh-CN" w:bidi="ar-SA"/>
        </w:rPr>
        <w:t xml:space="preserve">1. </w:t>
      </w:r>
      <w:r>
        <w:rPr>
          <w:rFonts w:hint="eastAsia" w:ascii="仿宋" w:hAnsi="仿宋" w:eastAsia="仿宋"/>
          <w:sz w:val="30"/>
          <w:szCs w:val="30"/>
          <w:highlight w:val="none"/>
          <w:lang w:val="en-US" w:eastAsia="zh-CN"/>
        </w:rPr>
        <w:t>申请人只能申报一个国家社科基金艺术学年度项目，且不能作为课题组成员参与申报其他国家社科基金艺术学年度项目。课题组成员最多参与两个国家社科基金艺术学年度项目申请；在研国家级项目课题组成员最多参与一个国家社科基金艺术学年度项目申请。申报本次年度项目的申请人不能申报2026年国家社会科学基金艺术学重大项目。</w:t>
      </w:r>
    </w:p>
    <w:p w14:paraId="4B1C4D79">
      <w:pPr>
        <w:keepNext w:val="0"/>
        <w:keepLines w:val="0"/>
        <w:pageBreakBefore w:val="0"/>
        <w:kinsoku/>
        <w:wordWrap/>
        <w:overflowPunct/>
        <w:topLinePunct w:val="0"/>
        <w:autoSpaceDE/>
        <w:autoSpaceDN/>
        <w:bidi w:val="0"/>
        <w:adjustRightInd/>
        <w:snapToGrid/>
        <w:spacing w:line="360" w:lineRule="auto"/>
        <w:ind w:firstLine="600" w:firstLineChars="200"/>
        <w:jc w:val="both"/>
        <w:textAlignment w:val="auto"/>
        <w:rPr>
          <w:rFonts w:hint="eastAsia" w:ascii="仿宋" w:hAnsi="仿宋" w:eastAsia="仿宋" w:cstheme="minorBidi"/>
          <w:color w:val="auto"/>
          <w:sz w:val="30"/>
          <w:szCs w:val="30"/>
          <w:highlight w:val="none"/>
          <w:lang w:val="en-US" w:eastAsia="zh-CN" w:bidi="ar-SA"/>
        </w:rPr>
      </w:pPr>
      <w:r>
        <w:rPr>
          <w:rFonts w:hint="eastAsia" w:ascii="仿宋" w:hAnsi="仿宋" w:eastAsia="仿宋" w:cstheme="minorBidi"/>
          <w:color w:val="auto"/>
          <w:sz w:val="30"/>
          <w:szCs w:val="30"/>
          <w:highlight w:val="none"/>
          <w:lang w:val="en-US" w:eastAsia="zh-CN" w:bidi="ar-SA"/>
        </w:rPr>
        <w:t>2.在研的国家社科基金各类项目、国家自然科学基金项目及其他国家级科研项目的负责人，不得申报新的国家社科基金艺术学年度项目（结项证书标注日期在2026年4月10日之前的，或在4月1日前已通过项目管理平台提交结项材料并审核通过的，可以申请）。</w:t>
      </w:r>
    </w:p>
    <w:p w14:paraId="6408762B">
      <w:pPr>
        <w:keepNext w:val="0"/>
        <w:keepLines w:val="0"/>
        <w:pageBreakBefore w:val="0"/>
        <w:kinsoku/>
        <w:wordWrap/>
        <w:overflowPunct/>
        <w:topLinePunct w:val="0"/>
        <w:autoSpaceDE/>
        <w:autoSpaceDN/>
        <w:bidi w:val="0"/>
        <w:adjustRightInd/>
        <w:snapToGrid/>
        <w:spacing w:line="360" w:lineRule="auto"/>
        <w:ind w:firstLine="600" w:firstLineChars="200"/>
        <w:jc w:val="both"/>
        <w:textAlignment w:val="auto"/>
        <w:rPr>
          <w:rFonts w:hint="eastAsia" w:ascii="仿宋" w:hAnsi="仿宋" w:eastAsia="仿宋" w:cstheme="minorBidi"/>
          <w:color w:val="auto"/>
          <w:sz w:val="30"/>
          <w:szCs w:val="30"/>
          <w:highlight w:val="none"/>
          <w:lang w:val="en-US" w:eastAsia="zh-CN" w:bidi="ar-SA"/>
        </w:rPr>
      </w:pPr>
      <w:r>
        <w:rPr>
          <w:rFonts w:hint="eastAsia" w:ascii="仿宋" w:hAnsi="仿宋" w:eastAsia="仿宋" w:cstheme="minorBidi"/>
          <w:color w:val="auto"/>
          <w:sz w:val="30"/>
          <w:szCs w:val="30"/>
          <w:highlight w:val="none"/>
          <w:lang w:val="en-US" w:eastAsia="zh-CN" w:bidi="ar-SA"/>
        </w:rPr>
        <w:t>3.国家社科基金项目、国家自然科学基金项目及其他国家级科研项目、教育部人文社会科学研究一般项目的申请人同年度不能申报国家社科基金艺术学年度项目，其课题组成员也不能作为负责人以内容相同或相近选题申请国家社科基金艺术学年度项目。</w:t>
      </w:r>
    </w:p>
    <w:p w14:paraId="703D3CF4">
      <w:pPr>
        <w:keepNext w:val="0"/>
        <w:keepLines w:val="0"/>
        <w:pageBreakBefore w:val="0"/>
        <w:kinsoku/>
        <w:wordWrap/>
        <w:overflowPunct/>
        <w:topLinePunct w:val="0"/>
        <w:autoSpaceDE/>
        <w:autoSpaceDN/>
        <w:bidi w:val="0"/>
        <w:adjustRightInd/>
        <w:snapToGrid/>
        <w:spacing w:line="360" w:lineRule="auto"/>
        <w:ind w:firstLine="600" w:firstLineChars="200"/>
        <w:jc w:val="both"/>
        <w:textAlignment w:val="auto"/>
        <w:rPr>
          <w:rFonts w:hint="eastAsia" w:ascii="仿宋" w:hAnsi="仿宋" w:eastAsia="仿宋" w:cstheme="minorBidi"/>
          <w:color w:val="auto"/>
          <w:sz w:val="30"/>
          <w:szCs w:val="30"/>
          <w:highlight w:val="none"/>
          <w:lang w:val="en-US" w:eastAsia="zh-CN" w:bidi="ar-SA"/>
        </w:rPr>
      </w:pPr>
      <w:r>
        <w:rPr>
          <w:rFonts w:hint="eastAsia" w:ascii="仿宋" w:hAnsi="仿宋" w:eastAsia="仿宋" w:cstheme="minorBidi"/>
          <w:color w:val="auto"/>
          <w:sz w:val="30"/>
          <w:szCs w:val="30"/>
          <w:highlight w:val="none"/>
          <w:lang w:val="en-US" w:eastAsia="zh-CN" w:bidi="ar-SA"/>
        </w:rPr>
        <w:t>4.不得通过变换责任单位回避前述条款规定，不得将内容基本相同或相近的申报材料以不同申请人的名义提出申请。</w:t>
      </w:r>
    </w:p>
    <w:p w14:paraId="2F6D2F40">
      <w:pPr>
        <w:keepNext w:val="0"/>
        <w:keepLines w:val="0"/>
        <w:pageBreakBefore w:val="0"/>
        <w:kinsoku/>
        <w:wordWrap/>
        <w:overflowPunct/>
        <w:topLinePunct w:val="0"/>
        <w:autoSpaceDE/>
        <w:autoSpaceDN/>
        <w:bidi w:val="0"/>
        <w:adjustRightInd/>
        <w:snapToGrid/>
        <w:spacing w:line="360" w:lineRule="auto"/>
        <w:ind w:firstLine="600" w:firstLineChars="200"/>
        <w:jc w:val="both"/>
        <w:textAlignment w:val="auto"/>
        <w:rPr>
          <w:rFonts w:hint="eastAsia" w:ascii="仿宋" w:hAnsi="仿宋" w:eastAsia="仿宋" w:cstheme="minorBidi"/>
          <w:color w:val="auto"/>
          <w:sz w:val="30"/>
          <w:szCs w:val="30"/>
          <w:highlight w:val="none"/>
          <w:lang w:val="en-US" w:eastAsia="zh-CN" w:bidi="ar-SA"/>
        </w:rPr>
      </w:pPr>
      <w:r>
        <w:rPr>
          <w:rFonts w:hint="eastAsia" w:ascii="仿宋" w:hAnsi="仿宋" w:eastAsia="仿宋" w:cstheme="minorBidi"/>
          <w:color w:val="auto"/>
          <w:sz w:val="30"/>
          <w:szCs w:val="30"/>
          <w:highlight w:val="none"/>
          <w:lang w:val="en-US" w:eastAsia="zh-CN" w:bidi="ar-SA"/>
        </w:rPr>
        <w:t>5. 凡在内容上与已结项的各类国家级科研项目有较大关联的，须在申请时详细说明所申请项目与已承担项目的联系和区别，否则视为重复申请；不得以内容基本相同或相近的同一成果申请多家基金项目结项。</w:t>
      </w:r>
    </w:p>
    <w:p w14:paraId="691883A6">
      <w:pPr>
        <w:keepNext w:val="0"/>
        <w:keepLines w:val="0"/>
        <w:pageBreakBefore w:val="0"/>
        <w:kinsoku/>
        <w:wordWrap/>
        <w:overflowPunct/>
        <w:topLinePunct w:val="0"/>
        <w:autoSpaceDE/>
        <w:autoSpaceDN/>
        <w:bidi w:val="0"/>
        <w:adjustRightInd/>
        <w:snapToGrid/>
        <w:spacing w:line="360" w:lineRule="auto"/>
        <w:ind w:firstLine="600" w:firstLineChars="200"/>
        <w:jc w:val="both"/>
        <w:textAlignment w:val="auto"/>
        <w:rPr>
          <w:rFonts w:hint="eastAsia" w:ascii="仿宋" w:hAnsi="仿宋" w:eastAsia="仿宋" w:cstheme="minorBidi"/>
          <w:color w:val="auto"/>
          <w:sz w:val="30"/>
          <w:szCs w:val="30"/>
          <w:highlight w:val="none"/>
          <w:lang w:val="en-US" w:eastAsia="zh-CN" w:bidi="ar-SA"/>
        </w:rPr>
      </w:pPr>
      <w:r>
        <w:rPr>
          <w:rFonts w:hint="eastAsia" w:ascii="仿宋" w:hAnsi="仿宋" w:eastAsia="仿宋" w:cstheme="minorBidi"/>
          <w:color w:val="auto"/>
          <w:sz w:val="30"/>
          <w:szCs w:val="30"/>
          <w:highlight w:val="none"/>
          <w:lang w:val="en-US" w:eastAsia="zh-CN" w:bidi="ar-SA"/>
        </w:rPr>
        <w:t>6.凡以博士学位论文或博士后出站报告为基础申报国家社科基金艺术学年度项目，须在申请时注明所申请项目与学位论文（出站报告）的联系和区别，并承诺在原论文（出站报告）基础上进行实质性修改，预期成果与学位论文（出站报告）的重复比例不得超过60%，申请鉴定结项时须提交学位论文（出站报告）原件。</w:t>
      </w:r>
    </w:p>
    <w:p w14:paraId="1CE22390">
      <w:pPr>
        <w:keepNext w:val="0"/>
        <w:keepLines w:val="0"/>
        <w:pageBreakBefore w:val="0"/>
        <w:kinsoku/>
        <w:wordWrap/>
        <w:overflowPunct/>
        <w:topLinePunct w:val="0"/>
        <w:autoSpaceDE/>
        <w:autoSpaceDN/>
        <w:bidi w:val="0"/>
        <w:adjustRightInd/>
        <w:snapToGrid/>
        <w:spacing w:line="360" w:lineRule="auto"/>
        <w:ind w:firstLine="600" w:firstLineChars="200"/>
        <w:jc w:val="both"/>
        <w:textAlignment w:val="auto"/>
        <w:rPr>
          <w:rFonts w:hint="eastAsia" w:ascii="仿宋" w:hAnsi="仿宋" w:eastAsia="仿宋" w:cstheme="minorBidi"/>
          <w:color w:val="auto"/>
          <w:sz w:val="30"/>
          <w:szCs w:val="30"/>
          <w:highlight w:val="none"/>
          <w:lang w:val="en-US" w:eastAsia="zh-CN" w:bidi="ar-SA"/>
        </w:rPr>
      </w:pPr>
      <w:r>
        <w:rPr>
          <w:rFonts w:hint="eastAsia" w:ascii="仿宋" w:hAnsi="仿宋" w:eastAsia="仿宋" w:cstheme="minorBidi"/>
          <w:color w:val="auto"/>
          <w:sz w:val="30"/>
          <w:szCs w:val="30"/>
          <w:highlight w:val="none"/>
          <w:lang w:val="en-US" w:eastAsia="zh-CN" w:bidi="ar-SA"/>
        </w:rPr>
        <w:t>7. 不得使用与已出版的内容基本相同的研究成果申请国家社科基金艺术学年度项目。</w:t>
      </w:r>
    </w:p>
    <w:p w14:paraId="7092A576">
      <w:pPr>
        <w:keepNext w:val="0"/>
        <w:keepLines w:val="0"/>
        <w:pageBreakBefore w:val="0"/>
        <w:kinsoku/>
        <w:wordWrap/>
        <w:overflowPunct/>
        <w:topLinePunct w:val="0"/>
        <w:autoSpaceDE/>
        <w:autoSpaceDN/>
        <w:bidi w:val="0"/>
        <w:adjustRightInd/>
        <w:snapToGrid/>
        <w:spacing w:line="360" w:lineRule="auto"/>
        <w:ind w:firstLine="600" w:firstLineChars="200"/>
        <w:jc w:val="both"/>
        <w:textAlignment w:val="auto"/>
        <w:rPr>
          <w:rFonts w:hint="eastAsia" w:ascii="仿宋" w:hAnsi="仿宋" w:eastAsia="仿宋" w:cstheme="minorBidi"/>
          <w:color w:val="auto"/>
          <w:sz w:val="30"/>
          <w:szCs w:val="30"/>
          <w:highlight w:val="none"/>
          <w:lang w:val="en-US" w:eastAsia="zh-CN" w:bidi="ar-SA"/>
        </w:rPr>
      </w:pPr>
      <w:r>
        <w:rPr>
          <w:rFonts w:hint="eastAsia" w:ascii="仿宋" w:hAnsi="仿宋" w:eastAsia="仿宋" w:cstheme="minorBidi"/>
          <w:color w:val="auto"/>
          <w:sz w:val="30"/>
          <w:szCs w:val="30"/>
          <w:highlight w:val="none"/>
          <w:lang w:val="en-US" w:eastAsia="zh-CN" w:bidi="ar-SA"/>
        </w:rPr>
        <w:t>8. 立项后凡以国家社科基金艺术学年度项目名义发表阶段性成果或最终成果，不得同时标注多家基金项目资助字样。</w:t>
      </w:r>
    </w:p>
    <w:p w14:paraId="22E2CC4E">
      <w:pPr>
        <w:keepNext w:val="0"/>
        <w:keepLines w:val="0"/>
        <w:pageBreakBefore w:val="0"/>
        <w:kinsoku/>
        <w:wordWrap/>
        <w:overflowPunct/>
        <w:topLinePunct w:val="0"/>
        <w:autoSpaceDE/>
        <w:autoSpaceDN/>
        <w:bidi w:val="0"/>
        <w:adjustRightInd/>
        <w:snapToGrid/>
        <w:spacing w:line="360" w:lineRule="auto"/>
        <w:ind w:firstLine="600" w:firstLineChars="200"/>
        <w:jc w:val="both"/>
        <w:textAlignment w:val="auto"/>
        <w:rPr>
          <w:rFonts w:hint="eastAsia" w:ascii="仿宋" w:hAnsi="仿宋" w:eastAsia="仿宋" w:cstheme="minorBidi"/>
          <w:color w:val="auto"/>
          <w:sz w:val="30"/>
          <w:szCs w:val="30"/>
          <w:highlight w:val="none"/>
          <w:lang w:val="en-US" w:eastAsia="zh-CN" w:bidi="ar-SA"/>
        </w:rPr>
      </w:pPr>
      <w:r>
        <w:rPr>
          <w:rFonts w:hint="eastAsia" w:ascii="仿宋" w:hAnsi="仿宋" w:eastAsia="仿宋" w:cstheme="minorBidi"/>
          <w:color w:val="auto"/>
          <w:sz w:val="30"/>
          <w:szCs w:val="30"/>
          <w:highlight w:val="none"/>
          <w:lang w:val="en-US" w:eastAsia="zh-CN" w:bidi="ar-SA"/>
        </w:rPr>
        <w:t>9. 预期成果需达到国家级项目应有体量。</w:t>
      </w:r>
    </w:p>
    <w:p w14:paraId="20FF9D19">
      <w:pPr>
        <w:numPr>
          <w:ilvl w:val="0"/>
          <w:numId w:val="0"/>
        </w:numPr>
        <w:spacing w:line="360" w:lineRule="auto"/>
        <w:ind w:firstLine="602" w:firstLineChars="200"/>
        <w:jc w:val="both"/>
        <w:rPr>
          <w:rFonts w:hint="eastAsia" w:ascii="仿宋" w:hAnsi="仿宋" w:eastAsia="仿宋"/>
          <w:b/>
          <w:bCs/>
          <w:sz w:val="30"/>
          <w:szCs w:val="30"/>
          <w:highlight w:val="none"/>
          <w:lang w:val="en-US" w:eastAsia="zh-CN"/>
        </w:rPr>
      </w:pPr>
      <w:r>
        <w:rPr>
          <w:rFonts w:hint="eastAsia" w:ascii="仿宋" w:hAnsi="仿宋" w:eastAsia="仿宋"/>
          <w:b/>
          <w:bCs/>
          <w:sz w:val="30"/>
          <w:szCs w:val="30"/>
          <w:highlight w:val="none"/>
          <w:lang w:val="en-US" w:eastAsia="zh-CN"/>
        </w:rPr>
        <w:t>四、申报系统</w:t>
      </w:r>
    </w:p>
    <w:p w14:paraId="0F184EAD">
      <w:pPr>
        <w:keepNext w:val="0"/>
        <w:keepLines w:val="0"/>
        <w:pageBreakBefore w:val="0"/>
        <w:kinsoku/>
        <w:wordWrap/>
        <w:overflowPunct/>
        <w:topLinePunct w:val="0"/>
        <w:autoSpaceDE/>
        <w:autoSpaceDN/>
        <w:bidi w:val="0"/>
        <w:adjustRightInd/>
        <w:snapToGrid/>
        <w:spacing w:line="360" w:lineRule="auto"/>
        <w:ind w:firstLine="600" w:firstLineChars="200"/>
        <w:jc w:val="both"/>
        <w:textAlignment w:val="auto"/>
        <w:rPr>
          <w:rFonts w:hint="eastAsia" w:ascii="仿宋" w:hAnsi="仿宋" w:eastAsia="仿宋" w:cstheme="minorBidi"/>
          <w:color w:val="auto"/>
          <w:sz w:val="30"/>
          <w:szCs w:val="30"/>
          <w:highlight w:val="none"/>
          <w:lang w:val="en-US" w:eastAsia="zh-CN" w:bidi="ar-SA"/>
        </w:rPr>
      </w:pPr>
      <w:r>
        <w:rPr>
          <w:rFonts w:hint="eastAsia" w:ascii="仿宋" w:hAnsi="仿宋" w:eastAsia="仿宋" w:cstheme="minorBidi"/>
          <w:color w:val="auto"/>
          <w:sz w:val="30"/>
          <w:szCs w:val="30"/>
          <w:highlight w:val="none"/>
          <w:lang w:val="en-US" w:eastAsia="zh-CN" w:bidi="ar-SA"/>
        </w:rPr>
        <w:t>请申请人登录申报管理系统（系统路径为：文化和旅游部网站主页→政务服务→办事大厅→全国艺术科学规划项目申报管理系统https://yskx.mct.gov.cn/adm/login），按照有关说明注册帐号并提交申报材料，网上集中申报和审核提交时间为2026年2月10日至4月10日，逾期项目管理平台自动关闭，不再受理申报、审核。</w:t>
      </w:r>
    </w:p>
    <w:p w14:paraId="5B7F7EBC">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 w:hAnsi="仿宋" w:eastAsia="仿宋" w:cstheme="minorBidi"/>
          <w:sz w:val="30"/>
          <w:szCs w:val="30"/>
          <w:highlight w:val="none"/>
          <w:lang w:val="en-US" w:eastAsia="zh-CN" w:bidi="ar-SA"/>
        </w:rPr>
      </w:pPr>
    </w:p>
    <w:p w14:paraId="2C146F83">
      <w:pPr>
        <w:keepNext w:val="0"/>
        <w:keepLines w:val="0"/>
        <w:pageBreakBefore w:val="0"/>
        <w:kinsoku/>
        <w:wordWrap/>
        <w:overflowPunct/>
        <w:topLinePunct w:val="0"/>
        <w:autoSpaceDE/>
        <w:autoSpaceDN/>
        <w:bidi w:val="0"/>
        <w:adjustRightInd/>
        <w:snapToGrid/>
        <w:spacing w:line="360" w:lineRule="auto"/>
        <w:ind w:firstLine="600" w:firstLineChars="200"/>
        <w:jc w:val="both"/>
        <w:textAlignment w:val="auto"/>
        <w:rPr>
          <w:rFonts w:hint="eastAsia" w:ascii="仿宋" w:hAnsi="仿宋" w:eastAsia="仿宋"/>
          <w:sz w:val="32"/>
          <w:szCs w:val="32"/>
        </w:rPr>
      </w:pPr>
      <w:r>
        <w:rPr>
          <w:rFonts w:hint="eastAsia" w:ascii="仿宋" w:hAnsi="仿宋" w:eastAsia="仿宋"/>
          <w:bCs/>
          <w:sz w:val="30"/>
          <w:szCs w:val="30"/>
          <w:lang w:eastAsia="zh-CN"/>
        </w:rPr>
        <w:t>其他未尽事宜详见附件。</w:t>
      </w:r>
      <w:r>
        <w:rPr>
          <w:rFonts w:hint="eastAsia" w:ascii="仿宋" w:hAnsi="仿宋" w:eastAsia="仿宋"/>
          <w:sz w:val="32"/>
          <w:szCs w:val="32"/>
        </w:rPr>
        <w:t xml:space="preserve">    </w:t>
      </w:r>
    </w:p>
    <w:p w14:paraId="3F7F60F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hint="eastAsia" w:ascii="仿宋" w:hAnsi="仿宋" w:eastAsia="仿宋"/>
          <w:sz w:val="32"/>
          <w:szCs w:val="32"/>
        </w:rPr>
        <w:t>联系人：</w:t>
      </w:r>
      <w:r>
        <w:rPr>
          <w:rFonts w:hint="eastAsia" w:ascii="仿宋" w:hAnsi="仿宋" w:eastAsia="仿宋"/>
          <w:sz w:val="32"/>
          <w:szCs w:val="32"/>
          <w:lang w:val="en-US" w:eastAsia="zh-CN"/>
        </w:rPr>
        <w:t>黄航穗</w:t>
      </w:r>
      <w:r>
        <w:rPr>
          <w:rFonts w:hint="eastAsia" w:ascii="仿宋" w:hAnsi="仿宋" w:eastAsia="仿宋"/>
          <w:sz w:val="32"/>
          <w:szCs w:val="32"/>
        </w:rPr>
        <w:t xml:space="preserve">      联系电话：0</w:t>
      </w:r>
      <w:r>
        <w:rPr>
          <w:rFonts w:ascii="仿宋" w:hAnsi="仿宋" w:eastAsia="仿宋"/>
          <w:sz w:val="32"/>
          <w:szCs w:val="32"/>
        </w:rPr>
        <w:t>756</w:t>
      </w:r>
      <w:r>
        <w:rPr>
          <w:rFonts w:hint="eastAsia" w:ascii="仿宋" w:hAnsi="仿宋" w:eastAsia="仿宋"/>
          <w:sz w:val="32"/>
          <w:szCs w:val="32"/>
        </w:rPr>
        <w:t>-76</w:t>
      </w:r>
      <w:r>
        <w:rPr>
          <w:rFonts w:ascii="仿宋" w:hAnsi="仿宋" w:eastAsia="仿宋"/>
          <w:sz w:val="32"/>
          <w:szCs w:val="32"/>
        </w:rPr>
        <w:t xml:space="preserve">29875  </w:t>
      </w:r>
    </w:p>
    <w:p w14:paraId="5B49738A">
      <w:pPr>
        <w:spacing w:line="560" w:lineRule="exact"/>
        <w:ind w:firstLine="645"/>
        <w:rPr>
          <w:rFonts w:ascii="仿宋" w:hAnsi="仿宋" w:eastAsia="仿宋"/>
          <w:sz w:val="32"/>
          <w:szCs w:val="32"/>
        </w:rPr>
      </w:pPr>
      <w:r>
        <w:rPr>
          <w:rFonts w:ascii="仿宋" w:hAnsi="仿宋" w:eastAsia="仿宋"/>
          <w:sz w:val="32"/>
          <w:szCs w:val="32"/>
        </w:rPr>
        <w:t xml:space="preserve">    </w:t>
      </w:r>
    </w:p>
    <w:p w14:paraId="516BC14B">
      <w:pPr>
        <w:spacing w:line="240" w:lineRule="auto"/>
        <w:ind w:left="1918" w:leftChars="290" w:hanging="1280" w:hangingChars="400"/>
        <w:rPr>
          <w:rFonts w:hint="eastAsia" w:ascii="仿宋" w:hAnsi="仿宋" w:eastAsia="仿宋"/>
          <w:sz w:val="32"/>
          <w:szCs w:val="32"/>
        </w:rPr>
      </w:pPr>
      <w:r>
        <w:rPr>
          <w:rFonts w:hint="eastAsia" w:ascii="仿宋" w:hAnsi="仿宋" w:eastAsia="仿宋"/>
          <w:sz w:val="32"/>
          <w:szCs w:val="32"/>
        </w:rPr>
        <w:t>附件:</w:t>
      </w:r>
      <w:r>
        <w:rPr>
          <w:rFonts w:hint="eastAsia" w:ascii="仿宋" w:hAnsi="仿宋" w:eastAsia="仿宋"/>
          <w:sz w:val="32"/>
          <w:szCs w:val="32"/>
          <w:lang w:val="en-US" w:eastAsia="zh-CN"/>
        </w:rPr>
        <w:t xml:space="preserve"> </w:t>
      </w:r>
      <w:r>
        <w:rPr>
          <w:rFonts w:hint="eastAsia" w:ascii="仿宋" w:hAnsi="仿宋" w:eastAsia="仿宋"/>
          <w:sz w:val="32"/>
          <w:szCs w:val="32"/>
        </w:rPr>
        <w:t>1.2026年国家社科基金艺术学年度项目申报公告</w:t>
      </w:r>
    </w:p>
    <w:p w14:paraId="1414D4EB">
      <w:pPr>
        <w:numPr>
          <w:ilvl w:val="0"/>
          <w:numId w:val="3"/>
        </w:numPr>
        <w:spacing w:line="560" w:lineRule="exact"/>
        <w:ind w:left="1915" w:leftChars="725" w:hanging="320" w:hangingChars="100"/>
        <w:rPr>
          <w:rFonts w:hint="eastAsia" w:ascii="仿宋" w:hAnsi="仿宋" w:eastAsia="仿宋"/>
          <w:sz w:val="32"/>
          <w:szCs w:val="32"/>
        </w:rPr>
      </w:pPr>
      <w:r>
        <w:rPr>
          <w:rFonts w:hint="eastAsia" w:ascii="仿宋" w:hAnsi="仿宋" w:eastAsia="仿宋"/>
          <w:sz w:val="32"/>
          <w:szCs w:val="32"/>
        </w:rPr>
        <w:t>2026年国家社科基金艺术学重大项目招标选题</w:t>
      </w:r>
    </w:p>
    <w:p w14:paraId="2D482F6A">
      <w:pPr>
        <w:numPr>
          <w:ilvl w:val="0"/>
          <w:numId w:val="3"/>
        </w:numPr>
        <w:spacing w:line="560" w:lineRule="exact"/>
        <w:ind w:left="1915" w:leftChars="725" w:hanging="320" w:hangingChars="100"/>
        <w:rPr>
          <w:rFonts w:hint="eastAsia" w:ascii="仿宋" w:hAnsi="仿宋" w:eastAsia="仿宋"/>
          <w:sz w:val="32"/>
          <w:szCs w:val="32"/>
        </w:rPr>
      </w:pPr>
      <w:r>
        <w:rPr>
          <w:rFonts w:hint="eastAsia" w:ascii="仿宋" w:hAnsi="仿宋" w:eastAsia="仿宋"/>
          <w:sz w:val="32"/>
          <w:szCs w:val="32"/>
        </w:rPr>
        <w:t>国家社会科学基金项目资金管理办法</w:t>
      </w:r>
    </w:p>
    <w:p w14:paraId="7AD1F15E">
      <w:pPr>
        <w:numPr>
          <w:ilvl w:val="0"/>
          <w:numId w:val="3"/>
        </w:numPr>
        <w:spacing w:line="560" w:lineRule="exact"/>
        <w:ind w:left="1915" w:leftChars="725" w:hanging="320" w:hangingChars="100"/>
        <w:rPr>
          <w:rFonts w:hint="eastAsia" w:ascii="仿宋" w:hAnsi="仿宋" w:eastAsia="仿宋"/>
          <w:sz w:val="32"/>
          <w:szCs w:val="32"/>
        </w:rPr>
      </w:pPr>
      <w:r>
        <w:rPr>
          <w:rFonts w:hint="eastAsia" w:ascii="仿宋" w:hAnsi="仿宋" w:eastAsia="仿宋"/>
          <w:sz w:val="32"/>
          <w:szCs w:val="32"/>
        </w:rPr>
        <w:t>国家社科基金艺术学历年立项项目汇编（2021-2025）</w:t>
      </w:r>
    </w:p>
    <w:p w14:paraId="3CDF69DD">
      <w:pPr>
        <w:numPr>
          <w:ilvl w:val="0"/>
          <w:numId w:val="0"/>
        </w:numPr>
        <w:spacing w:line="560" w:lineRule="exact"/>
        <w:ind w:leftChars="625"/>
        <w:rPr>
          <w:rFonts w:hint="eastAsia" w:ascii="仿宋" w:hAnsi="仿宋" w:eastAsia="仿宋"/>
          <w:sz w:val="32"/>
          <w:szCs w:val="32"/>
        </w:rPr>
      </w:pPr>
    </w:p>
    <w:p w14:paraId="4C5A70E9">
      <w:pPr>
        <w:numPr>
          <w:ilvl w:val="0"/>
          <w:numId w:val="0"/>
        </w:numPr>
        <w:spacing w:line="560" w:lineRule="exact"/>
        <w:ind w:leftChars="625"/>
        <w:rPr>
          <w:rFonts w:hint="eastAsia" w:ascii="仿宋" w:hAnsi="仿宋" w:eastAsia="仿宋"/>
          <w:sz w:val="32"/>
          <w:szCs w:val="32"/>
        </w:rPr>
      </w:pPr>
    </w:p>
    <w:p w14:paraId="3B0BDAE0">
      <w:pPr>
        <w:spacing w:line="560" w:lineRule="exact"/>
        <w:ind w:right="1450"/>
        <w:jc w:val="right"/>
        <w:rPr>
          <w:rFonts w:hint="eastAsia" w:ascii="仿宋" w:hAnsi="仿宋" w:eastAsia="仿宋"/>
          <w:sz w:val="32"/>
          <w:szCs w:val="32"/>
        </w:rPr>
      </w:pPr>
      <w:r>
        <w:rPr>
          <w:rFonts w:hint="eastAsia" w:ascii="仿宋" w:hAnsi="仿宋" w:eastAsia="仿宋"/>
          <w:sz w:val="32"/>
          <w:szCs w:val="32"/>
        </w:rPr>
        <w:t>科研处</w:t>
      </w:r>
    </w:p>
    <w:p w14:paraId="5BBC5871">
      <w:pPr>
        <w:spacing w:line="560" w:lineRule="exact"/>
        <w:ind w:right="640"/>
        <w:jc w:val="right"/>
        <w:rPr>
          <w:rFonts w:ascii="仿宋" w:hAnsi="仿宋" w:eastAsia="仿宋"/>
          <w:sz w:val="30"/>
          <w:szCs w:val="30"/>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3</w:t>
      </w:r>
      <w:r>
        <w:rPr>
          <w:rFonts w:hint="eastAsia" w:ascii="仿宋" w:hAnsi="仿宋" w:eastAsia="仿宋"/>
          <w:sz w:val="32"/>
          <w:szCs w:val="32"/>
        </w:rPr>
        <w:t>月</w:t>
      </w:r>
      <w:r>
        <w:rPr>
          <w:rFonts w:hint="eastAsia" w:ascii="仿宋" w:hAnsi="仿宋" w:eastAsia="仿宋"/>
          <w:sz w:val="32"/>
          <w:szCs w:val="32"/>
          <w:lang w:val="en-US" w:eastAsia="zh-CN"/>
        </w:rPr>
        <w:t>20</w:t>
      </w:r>
      <w:r>
        <w:rPr>
          <w:rFonts w:hint="eastAsia" w:ascii="仿宋" w:hAnsi="仿宋" w:eastAsia="仿宋"/>
          <w:sz w:val="32"/>
          <w:szCs w:val="32"/>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85264B"/>
    <w:multiLevelType w:val="singleLevel"/>
    <w:tmpl w:val="E785264B"/>
    <w:lvl w:ilvl="0" w:tentative="0">
      <w:start w:val="1"/>
      <w:numFmt w:val="chineseCounting"/>
      <w:suff w:val="nothing"/>
      <w:lvlText w:val="%1、"/>
      <w:lvlJc w:val="left"/>
      <w:rPr>
        <w:rFonts w:hint="eastAsia"/>
      </w:rPr>
    </w:lvl>
  </w:abstractNum>
  <w:abstractNum w:abstractNumId="1">
    <w:nsid w:val="FF9C87BD"/>
    <w:multiLevelType w:val="singleLevel"/>
    <w:tmpl w:val="FF9C87BD"/>
    <w:lvl w:ilvl="0" w:tentative="0">
      <w:start w:val="1"/>
      <w:numFmt w:val="decimal"/>
      <w:suff w:val="space"/>
      <w:lvlText w:val="%1."/>
      <w:lvlJc w:val="left"/>
    </w:lvl>
  </w:abstractNum>
  <w:abstractNum w:abstractNumId="2">
    <w:nsid w:val="4864BCF0"/>
    <w:multiLevelType w:val="singleLevel"/>
    <w:tmpl w:val="4864BCF0"/>
    <w:lvl w:ilvl="0" w:tentative="0">
      <w:start w:val="2"/>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C74DE"/>
    <w:rsid w:val="00FD0FCD"/>
    <w:rsid w:val="00FD4957"/>
    <w:rsid w:val="00FF6DF0"/>
    <w:rsid w:val="010A6B71"/>
    <w:rsid w:val="018A0AB8"/>
    <w:rsid w:val="023A72B6"/>
    <w:rsid w:val="02453E3A"/>
    <w:rsid w:val="02B46C24"/>
    <w:rsid w:val="02D55D83"/>
    <w:rsid w:val="0337305B"/>
    <w:rsid w:val="037C086D"/>
    <w:rsid w:val="03F55422"/>
    <w:rsid w:val="04336539"/>
    <w:rsid w:val="044360DC"/>
    <w:rsid w:val="04AC2FD1"/>
    <w:rsid w:val="04C84BE0"/>
    <w:rsid w:val="05943A92"/>
    <w:rsid w:val="05F62E73"/>
    <w:rsid w:val="05FD688A"/>
    <w:rsid w:val="067B40BC"/>
    <w:rsid w:val="06987A1C"/>
    <w:rsid w:val="06A411DD"/>
    <w:rsid w:val="06F20703"/>
    <w:rsid w:val="070C16FA"/>
    <w:rsid w:val="073E2C33"/>
    <w:rsid w:val="07FB2349"/>
    <w:rsid w:val="08761568"/>
    <w:rsid w:val="08A7406D"/>
    <w:rsid w:val="08AA6BF8"/>
    <w:rsid w:val="0B9A5A77"/>
    <w:rsid w:val="0C0C2D55"/>
    <w:rsid w:val="0C3154F5"/>
    <w:rsid w:val="0D422A6F"/>
    <w:rsid w:val="0D9C3FF3"/>
    <w:rsid w:val="0DAC2802"/>
    <w:rsid w:val="0E1556D9"/>
    <w:rsid w:val="0E903DF5"/>
    <w:rsid w:val="0F487D3C"/>
    <w:rsid w:val="0FD21DC2"/>
    <w:rsid w:val="0FDB338B"/>
    <w:rsid w:val="0FF95F5F"/>
    <w:rsid w:val="104D6D9A"/>
    <w:rsid w:val="10976042"/>
    <w:rsid w:val="10AD5EBB"/>
    <w:rsid w:val="10DA18EF"/>
    <w:rsid w:val="10F75934"/>
    <w:rsid w:val="11C07BAE"/>
    <w:rsid w:val="120B5DF0"/>
    <w:rsid w:val="124F355E"/>
    <w:rsid w:val="12CE51BF"/>
    <w:rsid w:val="137666D7"/>
    <w:rsid w:val="139A307F"/>
    <w:rsid w:val="13B43DAE"/>
    <w:rsid w:val="14861F22"/>
    <w:rsid w:val="152619A1"/>
    <w:rsid w:val="15D64B97"/>
    <w:rsid w:val="161A6A02"/>
    <w:rsid w:val="16402143"/>
    <w:rsid w:val="169B4F09"/>
    <w:rsid w:val="16DE5A08"/>
    <w:rsid w:val="172D34D2"/>
    <w:rsid w:val="1809179F"/>
    <w:rsid w:val="18D045C2"/>
    <w:rsid w:val="192F0C1B"/>
    <w:rsid w:val="197F7338"/>
    <w:rsid w:val="19D40EFE"/>
    <w:rsid w:val="1A63777A"/>
    <w:rsid w:val="1A9455D7"/>
    <w:rsid w:val="1A9B3486"/>
    <w:rsid w:val="1BE8049C"/>
    <w:rsid w:val="1C4757CF"/>
    <w:rsid w:val="1CC95984"/>
    <w:rsid w:val="1D476D28"/>
    <w:rsid w:val="1DD701E4"/>
    <w:rsid w:val="1E721035"/>
    <w:rsid w:val="1F6467DA"/>
    <w:rsid w:val="200302C0"/>
    <w:rsid w:val="205F062C"/>
    <w:rsid w:val="20BA09EF"/>
    <w:rsid w:val="20DD78A4"/>
    <w:rsid w:val="20E050D7"/>
    <w:rsid w:val="21142E77"/>
    <w:rsid w:val="21DE436E"/>
    <w:rsid w:val="22351EC4"/>
    <w:rsid w:val="239B06F1"/>
    <w:rsid w:val="24315539"/>
    <w:rsid w:val="24707CB6"/>
    <w:rsid w:val="24CF1D09"/>
    <w:rsid w:val="25731EF6"/>
    <w:rsid w:val="25973A11"/>
    <w:rsid w:val="26185031"/>
    <w:rsid w:val="26C91C30"/>
    <w:rsid w:val="270F62FE"/>
    <w:rsid w:val="27803091"/>
    <w:rsid w:val="27BE5AEA"/>
    <w:rsid w:val="27C771DB"/>
    <w:rsid w:val="27CC5D7D"/>
    <w:rsid w:val="289C6FF5"/>
    <w:rsid w:val="28DA7055"/>
    <w:rsid w:val="28F14494"/>
    <w:rsid w:val="29A4105C"/>
    <w:rsid w:val="29C97F80"/>
    <w:rsid w:val="2A607039"/>
    <w:rsid w:val="2A654D3E"/>
    <w:rsid w:val="2A847E05"/>
    <w:rsid w:val="2A976B12"/>
    <w:rsid w:val="2B690BB6"/>
    <w:rsid w:val="2BAA3D50"/>
    <w:rsid w:val="2BBA52E9"/>
    <w:rsid w:val="2CF07B2C"/>
    <w:rsid w:val="2D3A123B"/>
    <w:rsid w:val="2D773BDD"/>
    <w:rsid w:val="2D94060A"/>
    <w:rsid w:val="2EF20647"/>
    <w:rsid w:val="2EF66F26"/>
    <w:rsid w:val="2F55672F"/>
    <w:rsid w:val="304C0661"/>
    <w:rsid w:val="314D58AA"/>
    <w:rsid w:val="3289677F"/>
    <w:rsid w:val="32B86555"/>
    <w:rsid w:val="33856A8E"/>
    <w:rsid w:val="33891472"/>
    <w:rsid w:val="33FB1FED"/>
    <w:rsid w:val="347704AF"/>
    <w:rsid w:val="34C72231"/>
    <w:rsid w:val="379A2D75"/>
    <w:rsid w:val="388303A3"/>
    <w:rsid w:val="38B77DA3"/>
    <w:rsid w:val="38CE02BA"/>
    <w:rsid w:val="38F86B1E"/>
    <w:rsid w:val="395E4745"/>
    <w:rsid w:val="39772C3F"/>
    <w:rsid w:val="39AE46DE"/>
    <w:rsid w:val="39C2350C"/>
    <w:rsid w:val="39FA611E"/>
    <w:rsid w:val="3B130A51"/>
    <w:rsid w:val="3B597383"/>
    <w:rsid w:val="3C232ADA"/>
    <w:rsid w:val="3CC87A60"/>
    <w:rsid w:val="3DBA4B5C"/>
    <w:rsid w:val="3E5404A6"/>
    <w:rsid w:val="3EC50F93"/>
    <w:rsid w:val="3F0E3B73"/>
    <w:rsid w:val="3F414AFD"/>
    <w:rsid w:val="400412DC"/>
    <w:rsid w:val="40225712"/>
    <w:rsid w:val="40254C29"/>
    <w:rsid w:val="40DF033E"/>
    <w:rsid w:val="415E1187"/>
    <w:rsid w:val="419C038F"/>
    <w:rsid w:val="41E662F8"/>
    <w:rsid w:val="424B41AB"/>
    <w:rsid w:val="42F25A01"/>
    <w:rsid w:val="43395B6C"/>
    <w:rsid w:val="43620D37"/>
    <w:rsid w:val="43F0366A"/>
    <w:rsid w:val="44D01879"/>
    <w:rsid w:val="4654131B"/>
    <w:rsid w:val="466A1470"/>
    <w:rsid w:val="46D93940"/>
    <w:rsid w:val="47B44A5C"/>
    <w:rsid w:val="48D5508E"/>
    <w:rsid w:val="49707384"/>
    <w:rsid w:val="4983003A"/>
    <w:rsid w:val="4A327118"/>
    <w:rsid w:val="4A340CAB"/>
    <w:rsid w:val="4AFA6845"/>
    <w:rsid w:val="4B286A76"/>
    <w:rsid w:val="4B9544CD"/>
    <w:rsid w:val="4BA3499B"/>
    <w:rsid w:val="4C5F441E"/>
    <w:rsid w:val="4CC92917"/>
    <w:rsid w:val="4D5B6F6C"/>
    <w:rsid w:val="4D714816"/>
    <w:rsid w:val="4D9873CC"/>
    <w:rsid w:val="4E3A158A"/>
    <w:rsid w:val="4EDA32B7"/>
    <w:rsid w:val="4EE00D35"/>
    <w:rsid w:val="4F095028"/>
    <w:rsid w:val="4F4F74F5"/>
    <w:rsid w:val="4F8F5284"/>
    <w:rsid w:val="4F933F2B"/>
    <w:rsid w:val="4F9A2751"/>
    <w:rsid w:val="4FE84FCD"/>
    <w:rsid w:val="50F82005"/>
    <w:rsid w:val="51692372"/>
    <w:rsid w:val="51D86526"/>
    <w:rsid w:val="527228AA"/>
    <w:rsid w:val="52812993"/>
    <w:rsid w:val="5300132E"/>
    <w:rsid w:val="535836E7"/>
    <w:rsid w:val="53642284"/>
    <w:rsid w:val="54DB755C"/>
    <w:rsid w:val="550C1B16"/>
    <w:rsid w:val="557B5F14"/>
    <w:rsid w:val="55807CEC"/>
    <w:rsid w:val="55CF4430"/>
    <w:rsid w:val="561436C4"/>
    <w:rsid w:val="565E2FB8"/>
    <w:rsid w:val="56CC5043"/>
    <w:rsid w:val="57327D4B"/>
    <w:rsid w:val="578B7279"/>
    <w:rsid w:val="58612B6B"/>
    <w:rsid w:val="589347A0"/>
    <w:rsid w:val="58A31D94"/>
    <w:rsid w:val="58D93D60"/>
    <w:rsid w:val="58F96A12"/>
    <w:rsid w:val="5AB81CD6"/>
    <w:rsid w:val="5B0E45DD"/>
    <w:rsid w:val="5BAC6B6D"/>
    <w:rsid w:val="5C403784"/>
    <w:rsid w:val="5C8F13A9"/>
    <w:rsid w:val="5CC92D50"/>
    <w:rsid w:val="5D230B3A"/>
    <w:rsid w:val="5D661540"/>
    <w:rsid w:val="5D701798"/>
    <w:rsid w:val="5D997ED3"/>
    <w:rsid w:val="5EFA2BC8"/>
    <w:rsid w:val="60D65B8E"/>
    <w:rsid w:val="60F50A7F"/>
    <w:rsid w:val="61444D47"/>
    <w:rsid w:val="61C801E1"/>
    <w:rsid w:val="621A63B9"/>
    <w:rsid w:val="625608F6"/>
    <w:rsid w:val="625D650A"/>
    <w:rsid w:val="627256A9"/>
    <w:rsid w:val="63281D24"/>
    <w:rsid w:val="632F1D95"/>
    <w:rsid w:val="633549C3"/>
    <w:rsid w:val="633E4C55"/>
    <w:rsid w:val="63402676"/>
    <w:rsid w:val="63652967"/>
    <w:rsid w:val="645B4871"/>
    <w:rsid w:val="649A384C"/>
    <w:rsid w:val="64C973BA"/>
    <w:rsid w:val="64DE7068"/>
    <w:rsid w:val="6507255A"/>
    <w:rsid w:val="65342B66"/>
    <w:rsid w:val="6566788A"/>
    <w:rsid w:val="65D33436"/>
    <w:rsid w:val="65F836EF"/>
    <w:rsid w:val="66692E0D"/>
    <w:rsid w:val="66EA50AD"/>
    <w:rsid w:val="671D36A1"/>
    <w:rsid w:val="674B43C0"/>
    <w:rsid w:val="675E59B4"/>
    <w:rsid w:val="67EA04FA"/>
    <w:rsid w:val="682E1951"/>
    <w:rsid w:val="68532D14"/>
    <w:rsid w:val="68DA785D"/>
    <w:rsid w:val="692B5075"/>
    <w:rsid w:val="69CE3AE3"/>
    <w:rsid w:val="6A4F5D5D"/>
    <w:rsid w:val="6A535EB2"/>
    <w:rsid w:val="6A5E33EB"/>
    <w:rsid w:val="6ADA1601"/>
    <w:rsid w:val="6B0D4AB2"/>
    <w:rsid w:val="6B1B4B17"/>
    <w:rsid w:val="6B2C20D0"/>
    <w:rsid w:val="6B4C7A76"/>
    <w:rsid w:val="6B681478"/>
    <w:rsid w:val="6BF332C9"/>
    <w:rsid w:val="6C0B04B5"/>
    <w:rsid w:val="6C174964"/>
    <w:rsid w:val="6C2966CB"/>
    <w:rsid w:val="6CD343AF"/>
    <w:rsid w:val="6D6C0E2A"/>
    <w:rsid w:val="6DF901E4"/>
    <w:rsid w:val="6E6B3B8F"/>
    <w:rsid w:val="6E800753"/>
    <w:rsid w:val="6F6134C3"/>
    <w:rsid w:val="6F89402D"/>
    <w:rsid w:val="704E6E85"/>
    <w:rsid w:val="70AC53E6"/>
    <w:rsid w:val="7113573E"/>
    <w:rsid w:val="717C61FC"/>
    <w:rsid w:val="729C457E"/>
    <w:rsid w:val="72A45EFF"/>
    <w:rsid w:val="72AF7BFB"/>
    <w:rsid w:val="72BA1073"/>
    <w:rsid w:val="73404930"/>
    <w:rsid w:val="73420C2D"/>
    <w:rsid w:val="73520B4E"/>
    <w:rsid w:val="73C54194"/>
    <w:rsid w:val="73E56B06"/>
    <w:rsid w:val="748969AA"/>
    <w:rsid w:val="75DA6B4D"/>
    <w:rsid w:val="764D084D"/>
    <w:rsid w:val="76B32BBF"/>
    <w:rsid w:val="76DB7C64"/>
    <w:rsid w:val="76FB599D"/>
    <w:rsid w:val="77E40661"/>
    <w:rsid w:val="782675D5"/>
    <w:rsid w:val="78473F9A"/>
    <w:rsid w:val="78BA08F4"/>
    <w:rsid w:val="78BC4EB5"/>
    <w:rsid w:val="79113E35"/>
    <w:rsid w:val="793E6DBE"/>
    <w:rsid w:val="796913AF"/>
    <w:rsid w:val="796F4B1A"/>
    <w:rsid w:val="79D91228"/>
    <w:rsid w:val="7A0A0216"/>
    <w:rsid w:val="7A1C60A8"/>
    <w:rsid w:val="7AED28D6"/>
    <w:rsid w:val="7B872DAB"/>
    <w:rsid w:val="7B984058"/>
    <w:rsid w:val="7CBB0336"/>
    <w:rsid w:val="7CC36955"/>
    <w:rsid w:val="7DFF3B79"/>
    <w:rsid w:val="7E8216F9"/>
    <w:rsid w:val="7EBD212A"/>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4"/>
    <w:semiHidden/>
    <w:unhideWhenUsed/>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pPr>
      <w:spacing w:before="7"/>
      <w:ind w:left="129"/>
    </w:pPr>
    <w:rPr>
      <w:rFonts w:ascii="宋体" w:hAnsi="宋体" w:eastAsia="宋体"/>
      <w:sz w:val="30"/>
      <w:szCs w:val="30"/>
    </w:rPr>
  </w:style>
  <w:style w:type="paragraph" w:styleId="6">
    <w:name w:val="Date"/>
    <w:basedOn w:val="1"/>
    <w:next w:val="1"/>
    <w:link w:val="31"/>
    <w:qFormat/>
    <w:uiPriority w:val="0"/>
    <w:pPr>
      <w:ind w:left="100" w:leftChars="2500"/>
    </w:pPr>
  </w:style>
  <w:style w:type="paragraph" w:styleId="7">
    <w:name w:val="Balloon Text"/>
    <w:basedOn w:val="1"/>
    <w:link w:val="30"/>
    <w:qFormat/>
    <w:uiPriority w:val="0"/>
    <w:rPr>
      <w:sz w:val="18"/>
      <w:szCs w:val="18"/>
    </w:rPr>
  </w:style>
  <w:style w:type="paragraph" w:styleId="8">
    <w:name w:val="footer"/>
    <w:basedOn w:val="1"/>
    <w:link w:val="24"/>
    <w:qFormat/>
    <w:uiPriority w:val="0"/>
    <w:pPr>
      <w:tabs>
        <w:tab w:val="center" w:pos="4153"/>
        <w:tab w:val="right" w:pos="8306"/>
      </w:tabs>
      <w:snapToGrid w:val="0"/>
    </w:pPr>
    <w:rPr>
      <w:sz w:val="18"/>
      <w:szCs w:val="18"/>
    </w:rPr>
  </w:style>
  <w:style w:type="paragraph" w:styleId="9">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pPr>
    <w:rPr>
      <w:rFonts w:cs="Times New Roman"/>
      <w:sz w:val="24"/>
      <w:lang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page number"/>
    <w:basedOn w:val="13"/>
    <w:qFormat/>
    <w:uiPriority w:val="0"/>
  </w:style>
  <w:style w:type="character" w:styleId="16">
    <w:name w:val="FollowedHyperlink"/>
    <w:basedOn w:val="13"/>
    <w:qFormat/>
    <w:uiPriority w:val="0"/>
    <w:rPr>
      <w:color w:val="333333"/>
      <w:u w:val="none"/>
    </w:rPr>
  </w:style>
  <w:style w:type="character" w:styleId="17">
    <w:name w:val="HTML Acronym"/>
    <w:basedOn w:val="13"/>
    <w:qFormat/>
    <w:uiPriority w:val="0"/>
  </w:style>
  <w:style w:type="character" w:styleId="18">
    <w:name w:val="Hyperlink"/>
    <w:basedOn w:val="13"/>
    <w:qFormat/>
    <w:uiPriority w:val="0"/>
    <w:rPr>
      <w:color w:val="0000FF" w:themeColor="hyperlink"/>
      <w:u w:val="single"/>
      <w14:textFill>
        <w14:solidFill>
          <w14:schemeClr w14:val="hlink"/>
        </w14:solidFill>
      </w14:textFill>
    </w:rPr>
  </w:style>
  <w:style w:type="table" w:customStyle="1" w:styleId="19">
    <w:name w:val="Table Normal"/>
    <w:unhideWhenUsed/>
    <w:qFormat/>
    <w:uiPriority w:val="2"/>
    <w:tblPr>
      <w:tblCellMar>
        <w:top w:w="0" w:type="dxa"/>
        <w:left w:w="0" w:type="dxa"/>
        <w:bottom w:w="0" w:type="dxa"/>
        <w:right w:w="0" w:type="dxa"/>
      </w:tblCellMar>
    </w:tblPr>
  </w:style>
  <w:style w:type="paragraph" w:styleId="20">
    <w:name w:val="List Paragraph"/>
    <w:basedOn w:val="1"/>
    <w:qFormat/>
    <w:uiPriority w:val="1"/>
  </w:style>
  <w:style w:type="paragraph" w:customStyle="1" w:styleId="21">
    <w:name w:val="Table Paragraph"/>
    <w:basedOn w:val="1"/>
    <w:qFormat/>
    <w:uiPriority w:val="1"/>
  </w:style>
  <w:style w:type="paragraph" w:customStyle="1" w:styleId="22">
    <w:name w:val="dahei"/>
    <w:basedOn w:val="1"/>
    <w:qFormat/>
    <w:uiPriority w:val="0"/>
    <w:pPr>
      <w:widowControl/>
      <w:spacing w:before="100" w:beforeAutospacing="1" w:after="100" w:afterAutospacing="1"/>
    </w:pPr>
    <w:rPr>
      <w:rFonts w:ascii="宋体" w:hAnsi="宋体" w:cs="宋体"/>
      <w:sz w:val="24"/>
    </w:rPr>
  </w:style>
  <w:style w:type="character" w:customStyle="1" w:styleId="23">
    <w:name w:val="页眉 字符"/>
    <w:basedOn w:val="13"/>
    <w:link w:val="9"/>
    <w:qFormat/>
    <w:uiPriority w:val="0"/>
    <w:rPr>
      <w:rFonts w:eastAsiaTheme="minorHAnsi"/>
      <w:sz w:val="18"/>
      <w:szCs w:val="18"/>
      <w:lang w:eastAsia="en-US"/>
    </w:rPr>
  </w:style>
  <w:style w:type="character" w:customStyle="1" w:styleId="24">
    <w:name w:val="页脚 字符"/>
    <w:basedOn w:val="13"/>
    <w:link w:val="8"/>
    <w:qFormat/>
    <w:uiPriority w:val="0"/>
    <w:rPr>
      <w:rFonts w:eastAsiaTheme="minorHAnsi"/>
      <w:sz w:val="18"/>
      <w:szCs w:val="18"/>
      <w:lang w:eastAsia="en-US"/>
    </w:rPr>
  </w:style>
  <w:style w:type="paragraph" w:customStyle="1" w:styleId="25">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6">
    <w:name w:val="lang1"/>
    <w:basedOn w:val="13"/>
    <w:qFormat/>
    <w:uiPriority w:val="0"/>
  </w:style>
  <w:style w:type="character" w:customStyle="1" w:styleId="27">
    <w:name w:val="layui-this"/>
    <w:basedOn w:val="13"/>
    <w:qFormat/>
    <w:uiPriority w:val="0"/>
    <w:rPr>
      <w:bdr w:val="single" w:color="EEEEEE" w:sz="6" w:space="0"/>
      <w:shd w:val="clear" w:color="auto" w:fill="FFFFFF"/>
    </w:rPr>
  </w:style>
  <w:style w:type="character" w:customStyle="1" w:styleId="28">
    <w:name w:val="lang0"/>
    <w:basedOn w:val="13"/>
    <w:qFormat/>
    <w:uiPriority w:val="0"/>
  </w:style>
  <w:style w:type="character" w:customStyle="1" w:styleId="29">
    <w:name w:val="first-child"/>
    <w:basedOn w:val="13"/>
    <w:qFormat/>
    <w:uiPriority w:val="0"/>
  </w:style>
  <w:style w:type="character" w:customStyle="1" w:styleId="30">
    <w:name w:val="批注框文本 字符"/>
    <w:basedOn w:val="13"/>
    <w:link w:val="7"/>
    <w:qFormat/>
    <w:uiPriority w:val="0"/>
    <w:rPr>
      <w:rFonts w:asciiTheme="minorHAnsi" w:hAnsiTheme="minorHAnsi" w:eastAsiaTheme="minorHAnsi" w:cstheme="minorBidi"/>
      <w:sz w:val="18"/>
      <w:szCs w:val="18"/>
      <w:lang w:eastAsia="en-US"/>
    </w:rPr>
  </w:style>
  <w:style w:type="character" w:customStyle="1" w:styleId="31">
    <w:name w:val="日期 字符"/>
    <w:basedOn w:val="13"/>
    <w:link w:val="6"/>
    <w:qFormat/>
    <w:uiPriority w:val="0"/>
    <w:rPr>
      <w:rFonts w:asciiTheme="minorHAnsi" w:hAnsiTheme="minorHAnsi" w:eastAsiaTheme="minorHAnsi" w:cstheme="minorBidi"/>
      <w:sz w:val="22"/>
      <w:szCs w:val="22"/>
      <w:lang w:eastAsia="en-US"/>
    </w:rPr>
  </w:style>
  <w:style w:type="character" w:customStyle="1" w:styleId="32">
    <w:name w:val="未处理的提及1"/>
    <w:basedOn w:val="13"/>
    <w:semiHidden/>
    <w:unhideWhenUsed/>
    <w:qFormat/>
    <w:uiPriority w:val="99"/>
    <w:rPr>
      <w:color w:val="605E5C"/>
      <w:shd w:val="clear" w:color="auto" w:fill="E1DFDD"/>
    </w:rPr>
  </w:style>
  <w:style w:type="character" w:customStyle="1" w:styleId="33">
    <w:name w:val="未处理的提及2"/>
    <w:basedOn w:val="13"/>
    <w:semiHidden/>
    <w:unhideWhenUsed/>
    <w:qFormat/>
    <w:uiPriority w:val="99"/>
    <w:rPr>
      <w:color w:val="605E5C"/>
      <w:shd w:val="clear" w:color="auto" w:fill="E1DFDD"/>
    </w:rPr>
  </w:style>
  <w:style w:type="character" w:customStyle="1" w:styleId="34">
    <w:name w:val="标题 3 字符"/>
    <w:basedOn w:val="13"/>
    <w:link w:val="4"/>
    <w:semiHidden/>
    <w:qFormat/>
    <w:uiPriority w:val="0"/>
    <w:rPr>
      <w:rFonts w:eastAsiaTheme="minorHAnsi"/>
      <w:b/>
      <w:bCs/>
      <w:sz w:val="32"/>
      <w:szCs w:val="32"/>
      <w:lang w:eastAsia="en-US"/>
    </w:rPr>
  </w:style>
  <w:style w:type="character" w:customStyle="1" w:styleId="35">
    <w:name w:val="Unresolved Mention"/>
    <w:basedOn w:val="1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1876</Words>
  <Characters>2023</Characters>
  <Lines>11</Lines>
  <Paragraphs>3</Paragraphs>
  <TotalTime>7</TotalTime>
  <ScaleCrop>false</ScaleCrop>
  <LinksUpToDate>false</LinksUpToDate>
  <CharactersWithSpaces>2045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hsso</cp:lastModifiedBy>
  <cp:lastPrinted>2020-11-13T03:29:00Z</cp:lastPrinted>
  <dcterms:modified xsi:type="dcterms:W3CDTF">2026-03-20T07:22:37Z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769350BEA07545B89106AE944296A30C_12</vt:lpwstr>
  </property>
  <property fmtid="{D5CDD505-2E9C-101B-9397-08002B2CF9AE}" pid="7" name="KSOTemplateDocerSaveRecord">
    <vt:lpwstr>eyJoZGlkIjoiNjVkOTBiMGIzNzIxMDlmMjY0NWIxM2Q1MTQ5MDY1NWUiLCJ1c2VySWQiOiI1MTQxMDk0OTMifQ==</vt:lpwstr>
  </property>
</Properties>
</file>