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9" w:lineRule="exact"/>
        <w:jc w:val="left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附件3</w:t>
      </w:r>
    </w:p>
    <w:p>
      <w:pPr>
        <w:widowControl/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  <w:lang w:val="en-US" w:eastAsia="zh-CN"/>
        </w:rPr>
        <w:t>申报条件对照表</w:t>
      </w:r>
    </w:p>
    <w:bookmarkEnd w:id="0"/>
    <w:p>
      <w:pPr>
        <w:jc w:val="center"/>
        <w:rPr>
          <w:rFonts w:hint="eastAsia" w:ascii="仿宋_GB2312" w:cs="仿宋_GB2312"/>
          <w:b/>
          <w:bCs/>
          <w:spacing w:val="-6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pacing w:val="-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-6"/>
          <w:sz w:val="32"/>
          <w:szCs w:val="32"/>
          <w:lang w:val="en-US" w:eastAsia="zh-CN"/>
        </w:rPr>
        <w:t>1.珠海市工程技术研究中心资格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认定申报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条件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对照表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企业类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eastAsia="zh-CN"/>
        </w:rPr>
        <w:t>）</w:t>
      </w:r>
    </w:p>
    <w:p>
      <w:pPr>
        <w:rPr>
          <w:rFonts w:ascii="仿宋_GB2312" w:cs="仿宋_GB2312"/>
          <w:spacing w:val="-6"/>
        </w:rPr>
      </w:pPr>
    </w:p>
    <w:tbl>
      <w:tblPr>
        <w:tblStyle w:val="3"/>
        <w:tblW w:w="0" w:type="auto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11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评定要求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珠海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（含横琴粤澳深度合作区）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依法注册具有独立法人资格的企业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上年研发经费占年销售收入的比例不低于5%，或不少于150万元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申报单位上年度销售收入不低于2000万元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有必要的场地和实验、检测、分析的技术开发设备（不含生产设备），且技术开发设备原值不低于300万元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专职研发人员不少于10人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。其中，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中级职称以上人员（或硕士研究生以上学历）不少于30%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高级职称以上人员（或博士研究生以上学历）不少于10%。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企业是否已建有工程技术研究中心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对工程中心可行性论证报告的评价（必要性、可行性，建设内容、设备购置、进度安排的合理性等）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对工程中心建成后预期效益的评价（对行业技术带动和促进作用、社会效益、经济效益等）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对申报单位研发能力的评价（仪器设备、研发团队、获奖、成果转化、知识产权等情况）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对申报单位财务能力的评价（总产值、主营业务收入、利润、研发投入等）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pacing w:val="-6"/>
          <w:sz w:val="32"/>
          <w:szCs w:val="3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pacing w:val="-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2.珠海市工程技术研究中心资格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认定申报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条件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</w:rPr>
        <w:t>对照表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公益类</w:t>
      </w: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eastAsia="zh-CN"/>
        </w:rPr>
        <w:t>）</w:t>
      </w:r>
    </w:p>
    <w:p>
      <w:pPr>
        <w:rPr>
          <w:rFonts w:ascii="仿宋_GB2312" w:cs="仿宋_GB2312"/>
          <w:spacing w:val="-6"/>
        </w:rPr>
      </w:pPr>
    </w:p>
    <w:tbl>
      <w:tblPr>
        <w:tblStyle w:val="3"/>
        <w:tblW w:w="0" w:type="auto"/>
        <w:tblInd w:w="2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11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评定要求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珠海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（含横琴粤澳深度合作区）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依法注册具有独立法人资格的高校、科研院所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申报单位近三年在该领域的研发经费总额不少于500万元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拥有3项以上专利、软件著作权、标准等自主知识产权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且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近三年承担过本领域省级及以上科研项目，与企业开展产学研合作完成的标志性科研成果不少于2项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有必要的场地和实验、检测、分析的技术开发设备（不含生产设备），且技术开发设备原值不低于300万元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专职研发人员不少于10人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。其中，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中级职称以上人员（或硕士研究生以上学历）不少于30%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高级职称以上人员（或博士研究生以上学历）不少于10%。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高校或科研院所在同一领域是否已建有工程技术研究中心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对工程中心可行性论证报告的评价（必要性、可行性，建设内容、设备购置、进度安排的合理性等）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对对工程中心建成后预期效益的评价（对行业技术带动和促进作用、社会效益、经济效益等）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对申报单位基础条件建设的评价（仪器设备、研发团队、内部研发机构建设、行业竞争力等）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left w:w="210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1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申报单位研发能力和水平的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评价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（研发项目、产学研合作、获奖、成果转化、知识产权等情况）</w:t>
            </w:r>
          </w:p>
        </w:tc>
      </w:tr>
    </w:tbl>
    <w:p>
      <w:pPr>
        <w:rPr>
          <w:sz w:val="21"/>
          <w:szCs w:val="21"/>
        </w:rPr>
      </w:pPr>
    </w:p>
    <w:p/>
    <w:p/>
    <w:sectPr>
      <w:pgSz w:w="16838" w:h="11906" w:orient="landscape"/>
      <w:pgMar w:top="1474" w:right="2154" w:bottom="1474" w:left="2041" w:header="851" w:footer="992" w:gutter="0"/>
      <w:cols w:space="720" w:num="1"/>
      <w:rtlGutter w:val="0"/>
      <w:docGrid w:type="linesAndChars" w:linePitch="447" w:charSpace="43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DF706F"/>
    <w:rsid w:val="FFD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2022-02-18T09:30:00Z</dcterms:created>
  <dc:creator>uos</dc:creator>
  <cp:lastModifiedBy>uos</cp:lastModifiedBy>
  <dcterms:modified xsi:type="dcterms:W3CDTF">2022-02-18T09:31:03Z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