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hint="default" w:asciiTheme="majorEastAsia" w:hAnsiTheme="majorEastAsia" w:eastAsiaTheme="majorEastAsia"/>
          <w:color w:val="FF0000"/>
          <w:sz w:val="52"/>
          <w:szCs w:val="52"/>
          <w:highlight w:val="none"/>
          <w:lang w:val="en-US" w:eastAsia="zh-CN"/>
        </w:rPr>
      </w:pPr>
      <w:r>
        <w:rPr>
          <w:rFonts w:hint="eastAsia" w:asciiTheme="majorEastAsia" w:hAnsiTheme="majorEastAsia" w:eastAsiaTheme="majorEastAsia"/>
          <w:color w:val="FF0000"/>
          <w:sz w:val="52"/>
          <w:szCs w:val="52"/>
          <w:highlight w:val="none"/>
          <w:lang w:val="en-US" w:eastAsia="zh-CN"/>
        </w:rPr>
        <w:t>吉林大学珠海学院党委宣传部</w:t>
      </w:r>
    </w:p>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asciiTheme="majorEastAsia" w:hAnsiTheme="majorEastAsia" w:eastAsiaTheme="majorEastAsia"/>
          <w:color w:val="FF0000"/>
          <w:spacing w:val="80"/>
          <w:w w:val="55"/>
          <w:sz w:val="52"/>
          <w:szCs w:val="52"/>
          <w:highlight w:val="none"/>
          <w:lang w:eastAsia="zh-CN"/>
        </w:rPr>
      </w:pPr>
      <w:r>
        <w:rPr>
          <w:rFonts w:hint="eastAsia" w:asciiTheme="majorEastAsia" w:hAnsiTheme="majorEastAsia" w:eastAsiaTheme="majorEastAsia"/>
          <w:color w:val="FF0000"/>
          <w:sz w:val="52"/>
          <w:szCs w:val="52"/>
          <w:highlight w:val="none"/>
          <w:lang w:eastAsia="zh-CN"/>
        </w:rPr>
        <w:t>吉林大学珠海学院科研</w:t>
      </w:r>
      <w:r>
        <w:rPr>
          <w:rFonts w:hint="eastAsia" w:ascii="宋体" w:hAnsi="宋体" w:eastAsia="宋体" w:cs="Times New Roman"/>
          <w:color w:val="FF0000"/>
          <w:sz w:val="52"/>
          <w:szCs w:val="52"/>
          <w:highlight w:val="none"/>
          <w:lang w:eastAsia="zh-CN"/>
        </w:rPr>
        <w:t>处</w:t>
      </w:r>
    </w:p>
    <w:p>
      <w:pPr>
        <w:tabs>
          <w:tab w:val="left" w:pos="3991"/>
        </w:tabs>
        <w:spacing w:line="400" w:lineRule="exact"/>
        <w:rPr>
          <w:rFonts w:ascii="仿宋_GB2312" w:hAnsi="宋体" w:eastAsia="仿宋_GB2312"/>
          <w:color w:val="000000" w:themeColor="text1"/>
          <w:sz w:val="32"/>
          <w:szCs w:val="32"/>
          <w:highlight w:val="none"/>
          <w:lang w:eastAsia="zh-CN"/>
        </w:rPr>
      </w:pPr>
      <w:r>
        <w:rPr>
          <w:rFonts w:ascii="仿宋_GB2312" w:hAnsi="宋体" w:eastAsia="仿宋_GB2312"/>
          <w:color w:val="000000" w:themeColor="text1"/>
          <w:sz w:val="32"/>
          <w:szCs w:val="32"/>
          <w:highlight w:val="none"/>
          <w:lang w:eastAsia="zh-CN"/>
        </w:rPr>
        <w:pict>
          <v:line id="Line 2" o:spid="_x0000_s1040" o:spt="20" style="position:absolute;left:0pt;margin-left:-14.9pt;margin-top:11.65pt;height:0.05pt;width:458.9pt;z-index:251658240;mso-width-relative:page;mso-height-relative:page;" filled="f" stroked="t" coordsize="21600,21600">
            <v:path arrowok="t"/>
            <v:fill on="f" focussize="0,0"/>
            <v:stroke weight="4.5pt" color="#FF0000" linestyle="thickThin"/>
            <v:imagedata o:title=""/>
            <o:lock v:ext="edit" aspectratio="f"/>
          </v:line>
        </w:pict>
      </w:r>
    </w:p>
    <w:p>
      <w:pPr>
        <w:tabs>
          <w:tab w:val="left" w:pos="3991"/>
        </w:tabs>
        <w:spacing w:beforeLines="50" w:line="400" w:lineRule="exact"/>
        <w:jc w:val="right"/>
        <w:rPr>
          <w:rFonts w:ascii="仿宋_GB2312" w:eastAsia="仿宋_GB2312"/>
          <w:color w:val="000000" w:themeColor="text1"/>
          <w:sz w:val="32"/>
          <w:szCs w:val="32"/>
          <w:highlight w:val="none"/>
          <w:lang w:eastAsia="zh-CN"/>
        </w:rPr>
      </w:pPr>
      <w:r>
        <w:rPr>
          <w:rFonts w:hint="eastAsia" w:ascii="仿宋_GB2312" w:hAnsi="宋体" w:eastAsia="仿宋_GB2312"/>
          <w:color w:val="000000" w:themeColor="text1"/>
          <w:sz w:val="32"/>
          <w:szCs w:val="32"/>
          <w:highlight w:val="none"/>
          <w:lang w:val="en-US" w:eastAsia="zh-CN"/>
        </w:rPr>
        <w:t>院科</w:t>
      </w:r>
      <w:r>
        <w:rPr>
          <w:rFonts w:hint="eastAsia" w:ascii="仿宋_GB2312" w:hAnsi="宋体" w:eastAsia="仿宋_GB2312"/>
          <w:color w:val="000000" w:themeColor="text1"/>
          <w:sz w:val="32"/>
          <w:szCs w:val="32"/>
          <w:highlight w:val="none"/>
          <w:lang w:eastAsia="zh-CN"/>
        </w:rPr>
        <w:t>字〔20</w:t>
      </w:r>
      <w:r>
        <w:rPr>
          <w:rFonts w:hint="eastAsia" w:ascii="仿宋_GB2312" w:hAnsi="宋体" w:eastAsia="仿宋_GB2312"/>
          <w:color w:val="000000" w:themeColor="text1"/>
          <w:sz w:val="32"/>
          <w:szCs w:val="32"/>
          <w:highlight w:val="none"/>
          <w:lang w:val="en-US" w:eastAsia="zh-CN"/>
        </w:rPr>
        <w:t>20</w:t>
      </w:r>
      <w:r>
        <w:rPr>
          <w:rFonts w:hint="eastAsia" w:ascii="仿宋_GB2312" w:hAnsi="宋体" w:eastAsia="仿宋_GB2312"/>
          <w:color w:val="000000" w:themeColor="text1"/>
          <w:sz w:val="32"/>
          <w:szCs w:val="32"/>
          <w:highlight w:val="none"/>
          <w:lang w:eastAsia="zh-CN"/>
        </w:rPr>
        <w:t>〕</w:t>
      </w:r>
      <w:r>
        <w:rPr>
          <w:rFonts w:hint="eastAsia" w:ascii="仿宋_GB2312" w:hAnsi="宋体" w:eastAsia="仿宋_GB2312"/>
          <w:color w:val="000000" w:themeColor="text1"/>
          <w:sz w:val="32"/>
          <w:szCs w:val="32"/>
          <w:highlight w:val="none"/>
          <w:lang w:val="en-US" w:eastAsia="zh-CN"/>
        </w:rPr>
        <w:t>12</w:t>
      </w:r>
      <w:r>
        <w:rPr>
          <w:rFonts w:hint="eastAsia" w:ascii="仿宋_GB2312" w:hAnsi="宋体" w:eastAsia="仿宋_GB2312"/>
          <w:color w:val="000000" w:themeColor="text1"/>
          <w:sz w:val="32"/>
          <w:szCs w:val="32"/>
          <w:highlight w:val="none"/>
          <w:lang w:eastAsia="zh-CN"/>
        </w:rPr>
        <w:t>号</w:t>
      </w:r>
    </w:p>
    <w:p>
      <w:pPr>
        <w:spacing w:afterLines="50"/>
        <w:jc w:val="center"/>
        <w:rPr>
          <w:rFonts w:cs="Times New Roman" w:asciiTheme="majorEastAsia" w:hAnsiTheme="majorEastAsia" w:eastAsiaTheme="majorEastAsia"/>
          <w:b/>
          <w:color w:val="000000" w:themeColor="text1"/>
          <w:sz w:val="44"/>
          <w:szCs w:val="44"/>
          <w:highlight w:val="none"/>
          <w:lang w:eastAsia="zh-CN"/>
        </w:rPr>
      </w:pPr>
    </w:p>
    <w:p>
      <w:pPr>
        <w:widowControl/>
        <w:shd w:val="clear" w:color="auto" w:fill="FFFFFF"/>
        <w:spacing w:line="384" w:lineRule="auto"/>
        <w:jc w:val="center"/>
        <w:rPr>
          <w:rFonts w:hint="eastAsia"/>
          <w:b/>
          <w:color w:val="000000" w:themeColor="text1"/>
          <w:sz w:val="44"/>
          <w:szCs w:val="44"/>
          <w:highlight w:val="none"/>
        </w:rPr>
      </w:pPr>
      <w:r>
        <w:rPr>
          <w:rFonts w:hint="eastAsia"/>
          <w:b/>
          <w:color w:val="000000" w:themeColor="text1"/>
          <w:sz w:val="44"/>
          <w:szCs w:val="44"/>
          <w:highlight w:val="none"/>
          <w:lang w:val="en-US" w:eastAsia="zh-CN"/>
        </w:rPr>
        <w:t>关于转发《关于征集广东省庆祝经济特区</w:t>
      </w:r>
      <w:bookmarkStart w:id="0" w:name="_GoBack"/>
      <w:bookmarkEnd w:id="0"/>
      <w:r>
        <w:rPr>
          <w:rFonts w:hint="eastAsia"/>
          <w:b/>
          <w:color w:val="000000" w:themeColor="text1"/>
          <w:sz w:val="44"/>
          <w:szCs w:val="44"/>
          <w:highlight w:val="none"/>
          <w:lang w:val="en-US" w:eastAsia="zh-CN"/>
        </w:rPr>
        <w:t>建立40周年理论研讨会论文的通知》</w:t>
      </w:r>
    </w:p>
    <w:p>
      <w:pPr>
        <w:spacing w:line="360" w:lineRule="auto"/>
        <w:rPr>
          <w:rFonts w:ascii="仿宋" w:hAnsi="仿宋" w:eastAsia="仿宋" w:cs="宋体"/>
          <w:color w:val="000000"/>
          <w:sz w:val="30"/>
          <w:szCs w:val="30"/>
          <w:shd w:val="clear" w:color="auto" w:fill="FFFFFF"/>
          <w:lang w:eastAsia="zh-CN"/>
        </w:rPr>
      </w:pPr>
      <w:r>
        <w:rPr>
          <w:rFonts w:hint="eastAsia" w:ascii="仿宋" w:hAnsi="仿宋" w:eastAsia="仿宋" w:cs="宋体"/>
          <w:color w:val="000000"/>
          <w:sz w:val="30"/>
          <w:szCs w:val="30"/>
          <w:shd w:val="clear" w:color="auto" w:fill="FFFFFF"/>
          <w:lang w:eastAsia="zh-CN"/>
        </w:rPr>
        <w:t>学校各单位：</w:t>
      </w:r>
    </w:p>
    <w:p>
      <w:pPr>
        <w:spacing w:line="360" w:lineRule="auto"/>
        <w:ind w:firstLine="600" w:firstLineChars="200"/>
        <w:rPr>
          <w:rFonts w:hint="eastAsia" w:ascii="仿宋" w:hAnsi="仿宋" w:eastAsia="仿宋" w:cs="Arial"/>
          <w:sz w:val="30"/>
          <w:szCs w:val="30"/>
          <w:lang w:eastAsia="zh-CN"/>
        </w:rPr>
      </w:pPr>
      <w:r>
        <w:rPr>
          <w:rFonts w:hint="eastAsia" w:ascii="仿宋" w:hAnsi="仿宋" w:eastAsia="仿宋" w:cs="Arial"/>
          <w:sz w:val="30"/>
          <w:szCs w:val="30"/>
          <w:lang w:eastAsia="zh-CN"/>
        </w:rPr>
        <w:t>2020年是深圳、珠海、汕头等经济特区建立40周年，中共广东省委宣传部将于今年8月在深圳举办广东省庆祝经济特区建立40周年理论研讨会。</w:t>
      </w:r>
      <w:r>
        <w:rPr>
          <w:rFonts w:hint="eastAsia" w:ascii="仿宋" w:hAnsi="仿宋" w:eastAsia="仿宋" w:cs="Arial"/>
          <w:sz w:val="30"/>
          <w:szCs w:val="30"/>
          <w:lang w:val="en-US" w:eastAsia="zh-CN"/>
        </w:rPr>
        <w:t>根据</w:t>
      </w:r>
      <w:r>
        <w:rPr>
          <w:rFonts w:hint="eastAsia" w:ascii="仿宋" w:hAnsi="仿宋" w:eastAsia="仿宋" w:cs="Arial"/>
          <w:sz w:val="30"/>
          <w:szCs w:val="30"/>
          <w:lang w:eastAsia="zh-CN"/>
        </w:rPr>
        <w:t>中共广东省委宣传部《关于征集广东省庆祝经济特区建立</w:t>
      </w:r>
      <w:r>
        <w:rPr>
          <w:rFonts w:ascii="仿宋" w:hAnsi="仿宋" w:eastAsia="仿宋" w:cs="Arial"/>
          <w:sz w:val="30"/>
          <w:szCs w:val="30"/>
          <w:lang w:eastAsia="zh-CN"/>
        </w:rPr>
        <w:t>40</w:t>
      </w:r>
      <w:r>
        <w:rPr>
          <w:rFonts w:hint="eastAsia" w:ascii="仿宋" w:hAnsi="仿宋" w:eastAsia="仿宋" w:cs="Arial"/>
          <w:sz w:val="30"/>
          <w:szCs w:val="30"/>
          <w:lang w:eastAsia="zh-CN"/>
        </w:rPr>
        <w:t>周年理论研讨会论文的通知》</w:t>
      </w:r>
      <w:r>
        <w:rPr>
          <w:rFonts w:hint="eastAsia" w:ascii="仿宋" w:hAnsi="仿宋" w:eastAsia="仿宋" w:cs="Arial"/>
          <w:sz w:val="30"/>
          <w:szCs w:val="30"/>
          <w:lang w:val="en-US" w:eastAsia="zh-CN"/>
        </w:rPr>
        <w:t>的</w:t>
      </w:r>
      <w:r>
        <w:rPr>
          <w:rFonts w:hint="eastAsia" w:ascii="仿宋" w:hAnsi="仿宋" w:eastAsia="仿宋" w:cs="Arial"/>
          <w:sz w:val="30"/>
          <w:szCs w:val="30"/>
          <w:lang w:eastAsia="zh-CN"/>
        </w:rPr>
        <w:t>文件</w:t>
      </w:r>
      <w:r>
        <w:rPr>
          <w:rFonts w:hint="eastAsia" w:ascii="仿宋" w:hAnsi="仿宋" w:eastAsia="仿宋" w:cs="Arial"/>
          <w:sz w:val="30"/>
          <w:szCs w:val="30"/>
          <w:lang w:val="en-US" w:eastAsia="zh-CN"/>
        </w:rPr>
        <w:t>要求，</w:t>
      </w:r>
      <w:r>
        <w:rPr>
          <w:rFonts w:hint="eastAsia" w:ascii="仿宋" w:hAnsi="仿宋" w:eastAsia="仿宋" w:cs="Arial"/>
          <w:sz w:val="30"/>
          <w:szCs w:val="30"/>
          <w:lang w:eastAsia="zh-CN"/>
        </w:rPr>
        <w:t>学校组织开展相关论文的征集</w:t>
      </w:r>
      <w:r>
        <w:rPr>
          <w:rFonts w:hint="eastAsia" w:ascii="仿宋" w:hAnsi="仿宋" w:eastAsia="仿宋" w:cs="Arial"/>
          <w:sz w:val="30"/>
          <w:szCs w:val="30"/>
          <w:lang w:val="en-US" w:eastAsia="zh-CN"/>
        </w:rPr>
        <w:t>工作</w:t>
      </w:r>
      <w:r>
        <w:rPr>
          <w:rFonts w:hint="eastAsia" w:ascii="仿宋" w:hAnsi="仿宋" w:eastAsia="仿宋" w:cs="Arial"/>
          <w:sz w:val="30"/>
          <w:szCs w:val="30"/>
          <w:lang w:eastAsia="zh-CN"/>
        </w:rPr>
        <w:t>，具体要求见附件。</w:t>
      </w:r>
    </w:p>
    <w:p>
      <w:pPr>
        <w:numPr>
          <w:ilvl w:val="0"/>
          <w:numId w:val="1"/>
        </w:numPr>
        <w:spacing w:line="360" w:lineRule="auto"/>
        <w:ind w:firstLine="602" w:firstLineChars="200"/>
        <w:rPr>
          <w:rFonts w:hint="eastAsia" w:ascii="仿宋" w:hAnsi="仿宋" w:eastAsia="仿宋" w:cs="Arial"/>
          <w:b/>
          <w:bCs/>
          <w:sz w:val="30"/>
          <w:szCs w:val="30"/>
          <w:lang w:val="en-US" w:eastAsia="zh-CN"/>
        </w:rPr>
      </w:pPr>
      <w:r>
        <w:rPr>
          <w:rFonts w:hint="eastAsia" w:ascii="仿宋" w:hAnsi="仿宋" w:eastAsia="仿宋" w:cs="Arial"/>
          <w:b/>
          <w:bCs/>
          <w:sz w:val="30"/>
          <w:szCs w:val="30"/>
          <w:lang w:val="en-US" w:eastAsia="zh-CN"/>
        </w:rPr>
        <w:t>指导思想</w:t>
      </w:r>
    </w:p>
    <w:p>
      <w:pPr>
        <w:numPr>
          <w:ilvl w:val="0"/>
          <w:numId w:val="0"/>
        </w:numPr>
        <w:spacing w:line="360" w:lineRule="auto"/>
        <w:ind w:firstLine="600" w:firstLineChars="200"/>
        <w:rPr>
          <w:rFonts w:hint="eastAsia" w:ascii="仿宋" w:hAnsi="仿宋" w:eastAsia="仿宋" w:cs="Arial"/>
          <w:sz w:val="30"/>
          <w:szCs w:val="30"/>
          <w:lang w:val="en-US" w:eastAsia="zh-CN"/>
        </w:rPr>
      </w:pPr>
      <w:r>
        <w:rPr>
          <w:rFonts w:hint="default" w:ascii="仿宋" w:hAnsi="仿宋" w:eastAsia="仿宋" w:cs="Arial"/>
          <w:sz w:val="30"/>
          <w:szCs w:val="30"/>
          <w:lang w:val="en-US" w:eastAsia="zh-CN"/>
        </w:rPr>
        <w:t>以习近平新时代中国特色社会主义思想为指导，全面贯彻落实党的</w:t>
      </w:r>
      <w:r>
        <w:rPr>
          <w:rFonts w:hint="eastAsia" w:ascii="仿宋" w:hAnsi="仿宋" w:eastAsia="仿宋" w:cs="Arial"/>
          <w:sz w:val="30"/>
          <w:szCs w:val="30"/>
          <w:lang w:val="en-US" w:eastAsia="zh-CN"/>
        </w:rPr>
        <w:t>十九</w:t>
      </w:r>
      <w:r>
        <w:rPr>
          <w:rFonts w:hint="default" w:ascii="仿宋" w:hAnsi="仿宋" w:eastAsia="仿宋" w:cs="Arial"/>
          <w:sz w:val="30"/>
          <w:szCs w:val="30"/>
          <w:lang w:val="en-US" w:eastAsia="zh-CN"/>
        </w:rPr>
        <w:t>大和</w:t>
      </w:r>
      <w:r>
        <w:rPr>
          <w:rFonts w:hint="eastAsia" w:ascii="仿宋" w:hAnsi="仿宋" w:eastAsia="仿宋" w:cs="Arial"/>
          <w:sz w:val="30"/>
          <w:szCs w:val="30"/>
          <w:lang w:val="en-US" w:eastAsia="zh-CN"/>
        </w:rPr>
        <w:t>十九</w:t>
      </w:r>
      <w:r>
        <w:rPr>
          <w:rFonts w:hint="default" w:ascii="仿宋" w:hAnsi="仿宋" w:eastAsia="仿宋" w:cs="Arial"/>
          <w:sz w:val="30"/>
          <w:szCs w:val="30"/>
          <w:lang w:val="en-US" w:eastAsia="zh-CN"/>
        </w:rPr>
        <w:t>届二中</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三中</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四中全会精神，深入学习贯彻习近平总书记对广东重要讲话和重要指示批示精神，围绕我省深入学习贯彻习近平总书记关于改革开放和经济特区建设的重要论述。我省经济特区建设的发展历程</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重大成就</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成功经验和新时代全面深化改革开放等重大理论和实践问题进行研究阐释</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为广东努力实现</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四个走在前头和前列</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，当好</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两个重要窗口</w:t>
      </w:r>
      <w:r>
        <w:rPr>
          <w:rFonts w:hint="eastAsia" w:ascii="仿宋" w:hAnsi="仿宋" w:eastAsia="仿宋" w:cs="Arial"/>
          <w:sz w:val="30"/>
          <w:szCs w:val="30"/>
          <w:lang w:val="en-US" w:eastAsia="zh-CN"/>
        </w:rPr>
        <w:t>”</w:t>
      </w:r>
      <w:r>
        <w:rPr>
          <w:rFonts w:hint="default" w:ascii="仿宋" w:hAnsi="仿宋" w:eastAsia="仿宋" w:cs="Arial"/>
          <w:sz w:val="30"/>
          <w:szCs w:val="30"/>
          <w:lang w:val="en-US" w:eastAsia="zh-CN"/>
        </w:rPr>
        <w:t>，提供理论支撑和学术</w:t>
      </w:r>
      <w:r>
        <w:rPr>
          <w:rFonts w:hint="eastAsia" w:ascii="仿宋" w:hAnsi="仿宋" w:eastAsia="仿宋" w:cs="Arial"/>
          <w:sz w:val="30"/>
          <w:szCs w:val="30"/>
          <w:lang w:val="en-US" w:eastAsia="zh-CN"/>
        </w:rPr>
        <w:t>支持。</w:t>
      </w:r>
    </w:p>
    <w:p>
      <w:pPr>
        <w:numPr>
          <w:ilvl w:val="0"/>
          <w:numId w:val="1"/>
        </w:numPr>
        <w:spacing w:line="360" w:lineRule="auto"/>
        <w:ind w:left="0" w:leftChars="0" w:firstLine="640" w:firstLineChars="200"/>
        <w:rPr>
          <w:rFonts w:hint="eastAsia" w:ascii="仿宋" w:hAnsi="仿宋" w:eastAsia="仿宋" w:cs="Arial"/>
          <w:b/>
          <w:bCs/>
          <w:sz w:val="30"/>
          <w:szCs w:val="30"/>
          <w:lang w:val="en-US" w:eastAsia="zh-CN"/>
        </w:rPr>
      </w:pPr>
      <w:r>
        <w:rPr>
          <w:rFonts w:hint="eastAsia" w:eastAsia="仿宋_GB2312"/>
          <w:color w:val="000000" w:themeColor="text1"/>
          <w:sz w:val="32"/>
          <w:szCs w:val="32"/>
          <w:highlight w:val="none"/>
          <w:lang w:val="en-US" w:eastAsia="zh-CN"/>
        </w:rPr>
        <w:t xml:space="preserve">   </w:t>
      </w:r>
      <w:r>
        <w:rPr>
          <w:rFonts w:hint="eastAsia" w:ascii="仿宋" w:hAnsi="仿宋" w:eastAsia="仿宋" w:cs="Arial"/>
          <w:b/>
          <w:bCs/>
          <w:sz w:val="30"/>
          <w:szCs w:val="30"/>
          <w:lang w:val="en-US" w:eastAsia="zh-CN"/>
        </w:rPr>
        <w:t>参考选题</w:t>
      </w:r>
    </w:p>
    <w:p>
      <w:pPr>
        <w:numPr>
          <w:ilvl w:val="0"/>
          <w:numId w:val="0"/>
        </w:numPr>
        <w:spacing w:line="360" w:lineRule="auto"/>
        <w:ind w:firstLine="600" w:firstLineChars="20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1.经济特区发展的历史进程、主要成就与成功经验研究；</w:t>
      </w:r>
    </w:p>
    <w:p>
      <w:pPr>
        <w:numPr>
          <w:ilvl w:val="0"/>
          <w:numId w:val="0"/>
        </w:numPr>
        <w:spacing w:line="360" w:lineRule="auto"/>
        <w:ind w:firstLine="600" w:firstLineChars="200"/>
        <w:rPr>
          <w:rFonts w:hint="default" w:ascii="仿宋" w:hAnsi="仿宋" w:eastAsia="仿宋" w:cs="Arial"/>
          <w:sz w:val="30"/>
          <w:szCs w:val="30"/>
          <w:lang w:val="en-US" w:eastAsia="zh-CN"/>
        </w:rPr>
      </w:pPr>
      <w:r>
        <w:rPr>
          <w:rFonts w:hint="eastAsia" w:ascii="仿宋" w:hAnsi="仿宋" w:eastAsia="仿宋" w:cs="Arial"/>
          <w:sz w:val="30"/>
          <w:szCs w:val="30"/>
          <w:lang w:val="en-US" w:eastAsia="zh-CN"/>
        </w:rPr>
        <w:t>2.经济特区在我国改革开放和现代化建设中的地位和作用研究；</w:t>
      </w:r>
    </w:p>
    <w:p>
      <w:pPr>
        <w:numPr>
          <w:ilvl w:val="0"/>
          <w:numId w:val="0"/>
        </w:numPr>
        <w:spacing w:line="360" w:lineRule="auto"/>
        <w:ind w:firstLine="600" w:firstLineChars="200"/>
        <w:rPr>
          <w:rFonts w:hint="default" w:ascii="仿宋" w:hAnsi="仿宋" w:eastAsia="仿宋" w:cs="Arial"/>
          <w:sz w:val="30"/>
          <w:szCs w:val="30"/>
          <w:lang w:val="en-US" w:eastAsia="zh-CN"/>
        </w:rPr>
      </w:pPr>
      <w:r>
        <w:rPr>
          <w:rFonts w:hint="eastAsia" w:ascii="仿宋" w:hAnsi="仿宋" w:eastAsia="仿宋" w:cs="Arial"/>
          <w:sz w:val="30"/>
          <w:szCs w:val="30"/>
          <w:lang w:val="en-US" w:eastAsia="zh-CN"/>
        </w:rPr>
        <w:t>3.经济特区政治建设、经济建设、文化建设、社会建设、生态文明建设和党的建设研究；</w:t>
      </w:r>
    </w:p>
    <w:p>
      <w:pPr>
        <w:numPr>
          <w:ilvl w:val="0"/>
          <w:numId w:val="0"/>
        </w:numPr>
        <w:spacing w:line="360" w:lineRule="auto"/>
        <w:ind w:left="590" w:leftChars="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4.经济特区发展模式和典型案例研究；</w:t>
      </w:r>
    </w:p>
    <w:p>
      <w:pPr>
        <w:numPr>
          <w:ilvl w:val="0"/>
          <w:numId w:val="0"/>
        </w:numPr>
        <w:spacing w:line="360" w:lineRule="auto"/>
        <w:ind w:left="590" w:leftChars="0"/>
        <w:rPr>
          <w:rFonts w:hint="default" w:ascii="仿宋" w:hAnsi="仿宋" w:eastAsia="仿宋" w:cs="Arial"/>
          <w:sz w:val="30"/>
          <w:szCs w:val="30"/>
          <w:lang w:val="en-US" w:eastAsia="zh-CN"/>
        </w:rPr>
      </w:pPr>
      <w:r>
        <w:rPr>
          <w:rFonts w:hint="eastAsia" w:ascii="仿宋" w:hAnsi="仿宋" w:eastAsia="仿宋" w:cs="Arial"/>
          <w:sz w:val="30"/>
          <w:szCs w:val="30"/>
          <w:lang w:val="en-US" w:eastAsia="zh-CN"/>
        </w:rPr>
        <w:t>5.经济特区的世界比较研究；</w:t>
      </w:r>
    </w:p>
    <w:p>
      <w:pPr>
        <w:numPr>
          <w:ilvl w:val="0"/>
          <w:numId w:val="0"/>
        </w:numPr>
        <w:spacing w:line="360" w:lineRule="auto"/>
        <w:ind w:left="590" w:leftChars="0"/>
        <w:rPr>
          <w:rFonts w:hint="default" w:ascii="仿宋" w:hAnsi="仿宋" w:eastAsia="仿宋" w:cs="Arial"/>
          <w:sz w:val="30"/>
          <w:szCs w:val="30"/>
          <w:lang w:val="en-US" w:eastAsia="zh-CN"/>
        </w:rPr>
      </w:pPr>
      <w:r>
        <w:rPr>
          <w:rFonts w:hint="eastAsia" w:ascii="仿宋" w:hAnsi="仿宋" w:eastAsia="仿宋" w:cs="Arial"/>
          <w:sz w:val="30"/>
          <w:szCs w:val="30"/>
          <w:lang w:val="en-US" w:eastAsia="zh-CN"/>
        </w:rPr>
        <w:t>6.经济特区的深圳模式与深圳经验研究；</w:t>
      </w:r>
    </w:p>
    <w:p>
      <w:pPr>
        <w:numPr>
          <w:ilvl w:val="0"/>
          <w:numId w:val="0"/>
        </w:numPr>
        <w:spacing w:line="360" w:lineRule="auto"/>
        <w:ind w:left="590" w:leftChars="0"/>
        <w:rPr>
          <w:rFonts w:hint="default" w:ascii="仿宋" w:hAnsi="仿宋" w:eastAsia="仿宋" w:cs="Arial"/>
          <w:sz w:val="30"/>
          <w:szCs w:val="30"/>
          <w:lang w:val="en-US" w:eastAsia="zh-CN"/>
        </w:rPr>
      </w:pPr>
      <w:r>
        <w:rPr>
          <w:rFonts w:hint="eastAsia" w:ascii="仿宋" w:hAnsi="仿宋" w:eastAsia="仿宋" w:cs="Arial"/>
          <w:sz w:val="30"/>
          <w:szCs w:val="30"/>
          <w:lang w:val="en-US" w:eastAsia="zh-CN"/>
        </w:rPr>
        <w:t>7.经济特区与深圳建设中国特色社会主义先行示范区研究；</w:t>
      </w:r>
    </w:p>
    <w:p>
      <w:pPr>
        <w:numPr>
          <w:ilvl w:val="0"/>
          <w:numId w:val="0"/>
        </w:numPr>
        <w:spacing w:line="360" w:lineRule="auto"/>
        <w:ind w:left="590" w:leftChars="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8.新时代全面深化改革开放研究；</w:t>
      </w:r>
    </w:p>
    <w:p>
      <w:pPr>
        <w:numPr>
          <w:ilvl w:val="0"/>
          <w:numId w:val="0"/>
        </w:numPr>
        <w:spacing w:line="360" w:lineRule="auto"/>
        <w:ind w:left="590" w:leftChars="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9.新时代经济特区创新发展研究；</w:t>
      </w:r>
    </w:p>
    <w:p>
      <w:pPr>
        <w:numPr>
          <w:ilvl w:val="0"/>
          <w:numId w:val="0"/>
        </w:numPr>
        <w:spacing w:line="360" w:lineRule="auto"/>
        <w:ind w:left="590" w:leftChars="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10.经济特区与粤港澳大湾区建设研究；</w:t>
      </w:r>
    </w:p>
    <w:p>
      <w:pPr>
        <w:numPr>
          <w:ilvl w:val="0"/>
          <w:numId w:val="0"/>
        </w:numPr>
        <w:spacing w:line="360" w:lineRule="auto"/>
        <w:ind w:left="590" w:leftChars="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11.经济特区与社会主义现代化强国研究；</w:t>
      </w:r>
    </w:p>
    <w:p>
      <w:pPr>
        <w:numPr>
          <w:ilvl w:val="0"/>
          <w:numId w:val="0"/>
        </w:numPr>
        <w:spacing w:line="360" w:lineRule="auto"/>
        <w:ind w:left="590" w:leftChars="0"/>
        <w:rPr>
          <w:rFonts w:hint="default" w:ascii="仿宋" w:hAnsi="仿宋" w:eastAsia="仿宋" w:cs="Arial"/>
          <w:sz w:val="30"/>
          <w:szCs w:val="30"/>
          <w:lang w:val="en-US" w:eastAsia="zh-CN"/>
        </w:rPr>
      </w:pPr>
      <w:r>
        <w:rPr>
          <w:rFonts w:hint="eastAsia" w:ascii="仿宋" w:hAnsi="仿宋" w:eastAsia="仿宋" w:cs="Arial"/>
          <w:sz w:val="30"/>
          <w:szCs w:val="30"/>
          <w:lang w:val="en-US" w:eastAsia="zh-CN"/>
        </w:rPr>
        <w:t>12.经济特区40周年思想观念发展研究；</w:t>
      </w:r>
    </w:p>
    <w:p>
      <w:pPr>
        <w:numPr>
          <w:ilvl w:val="0"/>
          <w:numId w:val="0"/>
        </w:numPr>
        <w:spacing w:line="360" w:lineRule="auto"/>
        <w:ind w:left="590" w:leftChars="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12.经济特区与治理能力治理水平现代化研究。</w:t>
      </w:r>
    </w:p>
    <w:p>
      <w:pPr>
        <w:numPr>
          <w:ilvl w:val="0"/>
          <w:numId w:val="0"/>
        </w:numPr>
        <w:spacing w:line="360" w:lineRule="auto"/>
        <w:ind w:firstLine="600" w:firstLineChars="200"/>
        <w:rPr>
          <w:rFonts w:hint="eastAsia" w:ascii="仿宋" w:hAnsi="仿宋" w:eastAsia="仿宋" w:cs="Arial"/>
          <w:sz w:val="30"/>
          <w:szCs w:val="30"/>
          <w:lang w:val="en-US" w:eastAsia="zh-CN"/>
        </w:rPr>
      </w:pPr>
      <w:r>
        <w:rPr>
          <w:rFonts w:hint="eastAsia" w:ascii="仿宋" w:hAnsi="仿宋" w:eastAsia="仿宋" w:cs="Arial"/>
          <w:sz w:val="30"/>
          <w:szCs w:val="30"/>
          <w:lang w:val="en-US" w:eastAsia="zh-CN"/>
        </w:rPr>
        <w:t>以上所列论文选题为参考范围，作者可在此范围内自定具体题目。</w:t>
      </w:r>
    </w:p>
    <w:p>
      <w:pPr>
        <w:numPr>
          <w:ilvl w:val="0"/>
          <w:numId w:val="0"/>
        </w:numPr>
        <w:spacing w:line="360" w:lineRule="auto"/>
        <w:ind w:firstLine="602" w:firstLineChars="200"/>
        <w:rPr>
          <w:rFonts w:hint="eastAsia" w:ascii="仿宋" w:hAnsi="仿宋" w:eastAsia="仿宋" w:cs="Arial"/>
          <w:b/>
          <w:bCs/>
          <w:sz w:val="30"/>
          <w:szCs w:val="30"/>
          <w:lang w:val="en-US" w:eastAsia="zh-CN"/>
        </w:rPr>
      </w:pPr>
      <w:r>
        <w:rPr>
          <w:rFonts w:hint="eastAsia" w:ascii="仿宋" w:hAnsi="仿宋" w:eastAsia="仿宋" w:cs="Arial"/>
          <w:b/>
          <w:bCs/>
          <w:sz w:val="30"/>
          <w:szCs w:val="30"/>
          <w:lang w:val="en-US" w:eastAsia="zh-CN"/>
        </w:rPr>
        <w:t>三、申报要求</w:t>
      </w:r>
    </w:p>
    <w:p>
      <w:pPr>
        <w:numPr>
          <w:ilvl w:val="0"/>
          <w:numId w:val="0"/>
        </w:numPr>
        <w:spacing w:line="360" w:lineRule="auto"/>
        <w:ind w:firstLine="600" w:firstLineChars="200"/>
        <w:rPr>
          <w:rFonts w:hint="eastAsia" w:ascii="仿宋" w:hAnsi="仿宋" w:eastAsia="仿宋" w:cs="Arial"/>
          <w:b w:val="0"/>
          <w:bCs w:val="0"/>
          <w:sz w:val="30"/>
          <w:szCs w:val="30"/>
          <w:lang w:val="en-US" w:eastAsia="zh-CN"/>
        </w:rPr>
      </w:pPr>
      <w:r>
        <w:rPr>
          <w:rFonts w:hint="eastAsia" w:ascii="仿宋" w:hAnsi="仿宋" w:eastAsia="仿宋" w:cs="Arial"/>
          <w:b w:val="0"/>
          <w:bCs w:val="0"/>
          <w:sz w:val="30"/>
          <w:szCs w:val="30"/>
          <w:lang w:val="en-US" w:eastAsia="zh-CN"/>
        </w:rPr>
        <w:t>1.我校可推荐5篇；</w:t>
      </w:r>
    </w:p>
    <w:p>
      <w:pPr>
        <w:numPr>
          <w:ilvl w:val="0"/>
          <w:numId w:val="0"/>
        </w:numPr>
        <w:spacing w:line="360" w:lineRule="auto"/>
        <w:ind w:firstLine="600" w:firstLineChars="200"/>
        <w:rPr>
          <w:rFonts w:hint="default" w:ascii="仿宋" w:hAnsi="仿宋" w:eastAsia="仿宋" w:cs="Arial"/>
          <w:b w:val="0"/>
          <w:bCs w:val="0"/>
          <w:sz w:val="30"/>
          <w:szCs w:val="30"/>
          <w:lang w:val="en-US" w:eastAsia="zh-CN"/>
        </w:rPr>
      </w:pPr>
      <w:r>
        <w:rPr>
          <w:rFonts w:hint="eastAsia" w:ascii="仿宋" w:hAnsi="仿宋" w:eastAsia="仿宋" w:cs="Arial"/>
          <w:b w:val="0"/>
          <w:bCs w:val="0"/>
          <w:sz w:val="30"/>
          <w:szCs w:val="30"/>
          <w:lang w:val="en-US" w:eastAsia="zh-CN"/>
        </w:rPr>
        <w:t>2.论文字数不超过8000字。</w:t>
      </w:r>
    </w:p>
    <w:p>
      <w:pPr>
        <w:numPr>
          <w:ilvl w:val="0"/>
          <w:numId w:val="0"/>
        </w:numPr>
        <w:spacing w:line="360" w:lineRule="auto"/>
        <w:ind w:firstLine="602" w:firstLineChars="200"/>
        <w:rPr>
          <w:rFonts w:hint="default" w:ascii="仿宋" w:hAnsi="仿宋" w:eastAsia="仿宋" w:cs="Arial"/>
          <w:b/>
          <w:bCs/>
          <w:sz w:val="30"/>
          <w:szCs w:val="30"/>
          <w:lang w:val="en-US" w:eastAsia="zh-CN"/>
        </w:rPr>
      </w:pPr>
      <w:r>
        <w:rPr>
          <w:rFonts w:hint="eastAsia" w:ascii="仿宋" w:hAnsi="仿宋" w:eastAsia="仿宋" w:cs="Arial"/>
          <w:b/>
          <w:bCs/>
          <w:sz w:val="30"/>
          <w:szCs w:val="30"/>
          <w:lang w:val="en-US" w:eastAsia="zh-CN"/>
        </w:rPr>
        <w:t>四、提交论文方式：</w:t>
      </w:r>
    </w:p>
    <w:p>
      <w:pPr>
        <w:spacing w:line="360" w:lineRule="auto"/>
        <w:ind w:firstLine="600" w:firstLineChars="200"/>
        <w:rPr>
          <w:rFonts w:hint="eastAsia" w:ascii="仿宋" w:hAnsi="仿宋" w:eastAsia="仿宋"/>
          <w:color w:val="000000"/>
          <w:sz w:val="30"/>
          <w:szCs w:val="30"/>
          <w:lang w:val="en-US" w:eastAsia="zh-CN"/>
        </w:rPr>
      </w:pPr>
      <w:r>
        <w:rPr>
          <w:rFonts w:hint="eastAsia" w:ascii="仿宋" w:hAnsi="仿宋" w:eastAsia="仿宋" w:cs="宋体"/>
          <w:color w:val="000000"/>
          <w:sz w:val="30"/>
          <w:szCs w:val="30"/>
          <w:shd w:val="clear" w:color="auto" w:fill="FFFFFF"/>
          <w:lang w:eastAsia="zh-CN"/>
        </w:rPr>
        <w:t>电子版提交时间为20</w:t>
      </w:r>
      <w:r>
        <w:rPr>
          <w:rFonts w:ascii="仿宋" w:hAnsi="仿宋" w:eastAsia="仿宋" w:cs="宋体"/>
          <w:color w:val="000000"/>
          <w:sz w:val="30"/>
          <w:szCs w:val="30"/>
          <w:shd w:val="clear" w:color="auto" w:fill="FFFFFF"/>
          <w:lang w:eastAsia="zh-CN"/>
        </w:rPr>
        <w:t>20</w:t>
      </w:r>
      <w:r>
        <w:rPr>
          <w:rFonts w:hint="eastAsia" w:ascii="仿宋" w:hAnsi="仿宋" w:eastAsia="仿宋" w:cs="宋体"/>
          <w:color w:val="000000"/>
          <w:sz w:val="30"/>
          <w:szCs w:val="30"/>
          <w:highlight w:val="none"/>
          <w:shd w:val="clear" w:color="auto" w:fill="FFFFFF"/>
          <w:lang w:eastAsia="zh-CN"/>
        </w:rPr>
        <w:t>年</w:t>
      </w:r>
      <w:r>
        <w:rPr>
          <w:rFonts w:ascii="仿宋" w:hAnsi="仿宋" w:eastAsia="仿宋" w:cs="宋体"/>
          <w:color w:val="000000"/>
          <w:sz w:val="30"/>
          <w:szCs w:val="30"/>
          <w:highlight w:val="none"/>
          <w:shd w:val="clear" w:color="auto" w:fill="FFFFFF"/>
          <w:lang w:eastAsia="zh-CN"/>
        </w:rPr>
        <w:t>6</w:t>
      </w:r>
      <w:r>
        <w:rPr>
          <w:rFonts w:hint="eastAsia" w:ascii="仿宋" w:hAnsi="仿宋" w:eastAsia="仿宋" w:cs="宋体"/>
          <w:color w:val="000000"/>
          <w:sz w:val="30"/>
          <w:szCs w:val="30"/>
          <w:highlight w:val="none"/>
          <w:shd w:val="clear" w:color="auto" w:fill="FFFFFF"/>
          <w:lang w:eastAsia="zh-CN"/>
        </w:rPr>
        <w:t>月</w:t>
      </w:r>
      <w:r>
        <w:rPr>
          <w:rFonts w:ascii="仿宋" w:hAnsi="仿宋" w:eastAsia="仿宋" w:cs="宋体"/>
          <w:color w:val="000000"/>
          <w:sz w:val="30"/>
          <w:szCs w:val="30"/>
          <w:highlight w:val="none"/>
          <w:shd w:val="clear" w:color="auto" w:fill="FFFFFF"/>
          <w:lang w:eastAsia="zh-CN"/>
        </w:rPr>
        <w:t>5</w:t>
      </w:r>
      <w:r>
        <w:rPr>
          <w:rFonts w:hint="eastAsia" w:ascii="仿宋" w:hAnsi="仿宋" w:eastAsia="仿宋" w:cs="宋体"/>
          <w:color w:val="000000"/>
          <w:sz w:val="30"/>
          <w:szCs w:val="30"/>
          <w:highlight w:val="none"/>
          <w:shd w:val="clear" w:color="auto" w:fill="FFFFFF"/>
          <w:lang w:eastAsia="zh-CN"/>
        </w:rPr>
        <w:t>日</w:t>
      </w:r>
      <w:r>
        <w:rPr>
          <w:rFonts w:hint="eastAsia" w:ascii="仿宋" w:hAnsi="仿宋" w:eastAsia="仿宋" w:cs="宋体"/>
          <w:color w:val="000000"/>
          <w:sz w:val="30"/>
          <w:szCs w:val="30"/>
          <w:shd w:val="clear" w:color="auto" w:fill="FFFFFF"/>
          <w:lang w:eastAsia="zh-CN"/>
        </w:rPr>
        <w:t>17：00前，</w:t>
      </w:r>
      <w:r>
        <w:rPr>
          <w:rFonts w:hint="eastAsia" w:ascii="仿宋" w:hAnsi="仿宋" w:eastAsia="仿宋" w:cs="仿宋"/>
          <w:color w:val="000000"/>
          <w:sz w:val="30"/>
          <w:szCs w:val="30"/>
          <w:lang w:eastAsia="zh-CN"/>
        </w:rPr>
        <w:t>发送邮箱至：</w:t>
      </w:r>
      <w:r>
        <w:rPr>
          <w:rFonts w:ascii="仿宋" w:hAnsi="仿宋" w:eastAsia="仿宋" w:cs="仿宋"/>
          <w:color w:val="000000"/>
          <w:sz w:val="30"/>
          <w:szCs w:val="30"/>
          <w:u w:val="none"/>
          <w:lang w:eastAsia="zh-CN"/>
        </w:rPr>
        <w:t xml:space="preserve"> </w:t>
      </w:r>
      <w:r>
        <w:rPr>
          <w:rFonts w:hint="eastAsia" w:ascii="仿宋" w:hAnsi="仿宋" w:eastAsia="仿宋" w:cs="仿宋"/>
          <w:color w:val="000000"/>
          <w:sz w:val="30"/>
          <w:szCs w:val="30"/>
          <w:u w:val="none"/>
          <w:lang w:val="en-US" w:eastAsia="zh-CN"/>
        </w:rPr>
        <w:t>kycjluzh@126.com</w:t>
      </w:r>
      <w:r>
        <w:rPr>
          <w:rFonts w:ascii="仿宋" w:hAnsi="仿宋" w:eastAsia="仿宋" w:cs="仿宋"/>
          <w:color w:val="000000"/>
          <w:sz w:val="30"/>
          <w:szCs w:val="30"/>
          <w:u w:val="none"/>
          <w:lang w:eastAsia="zh-CN"/>
        </w:rPr>
        <w:t xml:space="preserve"> </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lang w:val="en-US" w:eastAsia="zh-CN"/>
        </w:rPr>
        <w:t>命名为：庆祝经济特区建立40周年“理论研讨会论文”，收集后</w:t>
      </w:r>
      <w:r>
        <w:rPr>
          <w:rFonts w:hint="eastAsia" w:ascii="仿宋" w:hAnsi="仿宋" w:eastAsia="仿宋" w:cs="仿宋"/>
          <w:color w:val="000000"/>
          <w:sz w:val="30"/>
          <w:szCs w:val="30"/>
          <w:lang w:eastAsia="zh-CN"/>
        </w:rPr>
        <w:t>由学校统一组织评审相关材料。</w:t>
      </w:r>
    </w:p>
    <w:p>
      <w:pPr>
        <w:spacing w:line="360" w:lineRule="auto"/>
        <w:ind w:firstLine="600" w:firstLineChars="200"/>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联系人：欧阳俊强 联系电话：18666981119</w:t>
      </w:r>
    </w:p>
    <w:p>
      <w:pPr>
        <w:spacing w:line="360" w:lineRule="auto"/>
        <w:ind w:firstLine="600" w:firstLineChars="200"/>
        <w:rPr>
          <w:rFonts w:hint="eastAsia" w:ascii="仿宋" w:hAnsi="仿宋" w:eastAsia="仿宋"/>
          <w:color w:val="000000"/>
          <w:sz w:val="30"/>
          <w:szCs w:val="30"/>
          <w:lang w:val="en-US" w:eastAsia="zh-CN"/>
        </w:rPr>
      </w:pPr>
    </w:p>
    <w:p>
      <w:pPr>
        <w:spacing w:line="360" w:lineRule="auto"/>
        <w:ind w:right="640" w:firstLine="600" w:firstLineChars="200"/>
        <w:rPr>
          <w:rFonts w:ascii="仿宋" w:hAnsi="仿宋" w:eastAsia="仿宋"/>
          <w:color w:val="000000"/>
          <w:sz w:val="30"/>
          <w:szCs w:val="30"/>
          <w:lang w:eastAsia="zh-CN"/>
        </w:rPr>
      </w:pPr>
      <w:r>
        <w:rPr>
          <w:rFonts w:hint="eastAsia" w:ascii="仿宋" w:hAnsi="仿宋" w:eastAsia="仿宋"/>
          <w:color w:val="000000"/>
          <w:sz w:val="30"/>
          <w:szCs w:val="30"/>
          <w:lang w:eastAsia="zh-CN"/>
        </w:rPr>
        <w:t>附件：《关于征集广东省庆祝经济特区建立</w:t>
      </w:r>
      <w:r>
        <w:rPr>
          <w:rFonts w:ascii="仿宋" w:hAnsi="仿宋" w:eastAsia="仿宋"/>
          <w:color w:val="000000"/>
          <w:sz w:val="30"/>
          <w:szCs w:val="30"/>
          <w:lang w:eastAsia="zh-CN"/>
        </w:rPr>
        <w:t>40</w:t>
      </w:r>
      <w:r>
        <w:rPr>
          <w:rFonts w:hint="eastAsia" w:ascii="仿宋" w:hAnsi="仿宋" w:eastAsia="仿宋"/>
          <w:color w:val="000000"/>
          <w:sz w:val="30"/>
          <w:szCs w:val="30"/>
          <w:lang w:eastAsia="zh-CN"/>
        </w:rPr>
        <w:t>周年理论研讨会论文的通知》</w:t>
      </w:r>
    </w:p>
    <w:p>
      <w:pPr>
        <w:spacing w:line="560" w:lineRule="exact"/>
        <w:jc w:val="both"/>
        <w:rPr>
          <w:rFonts w:hint="default" w:eastAsia="仿宋_GB2312"/>
          <w:color w:val="000000" w:themeColor="text1"/>
          <w:sz w:val="32"/>
          <w:szCs w:val="32"/>
          <w:highlight w:val="none"/>
          <w:lang w:val="en-US" w:eastAsia="zh-CN"/>
        </w:rPr>
      </w:pPr>
    </w:p>
    <w:p>
      <w:pPr>
        <w:spacing w:line="560" w:lineRule="exact"/>
        <w:ind w:firstLine="1920" w:firstLineChars="600"/>
        <w:jc w:val="center"/>
        <w:rPr>
          <w:rFonts w:hint="eastAsia" w:eastAsia="仿宋_GB2312"/>
          <w:color w:val="000000" w:themeColor="text1"/>
          <w:sz w:val="32"/>
          <w:szCs w:val="32"/>
          <w:highlight w:val="none"/>
          <w:lang w:val="en-US" w:eastAsia="zh-CN"/>
        </w:rPr>
      </w:pPr>
      <w:r>
        <w:rPr>
          <w:rFonts w:hint="eastAsia" w:eastAsia="仿宋_GB2312"/>
          <w:color w:val="000000" w:themeColor="text1"/>
          <w:sz w:val="32"/>
          <w:szCs w:val="32"/>
          <w:highlight w:val="none"/>
          <w:lang w:val="en-US" w:eastAsia="zh-CN"/>
        </w:rPr>
        <w:t xml:space="preserve">               党委宣传部  科研处</w:t>
      </w:r>
    </w:p>
    <w:p>
      <w:pPr>
        <w:spacing w:line="560" w:lineRule="exact"/>
        <w:ind w:left="1630" w:leftChars="741"/>
        <w:jc w:val="center"/>
        <w:rPr>
          <w:rFonts w:eastAsia="仿宋_GB2312"/>
          <w:color w:val="000000" w:themeColor="text1"/>
          <w:sz w:val="32"/>
          <w:szCs w:val="32"/>
          <w:highlight w:val="none"/>
          <w:lang w:eastAsia="zh-CN"/>
        </w:rPr>
      </w:pPr>
      <w:r>
        <w:rPr>
          <w:rFonts w:hint="eastAsia" w:eastAsia="仿宋_GB2312"/>
          <w:color w:val="000000" w:themeColor="text1"/>
          <w:sz w:val="32"/>
          <w:szCs w:val="32"/>
          <w:highlight w:val="none"/>
          <w:lang w:val="en-US" w:eastAsia="zh-CN"/>
        </w:rPr>
        <w:t xml:space="preserve">                         2020年3月13日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555EF6"/>
    <w:multiLevelType w:val="singleLevel"/>
    <w:tmpl w:val="63555EF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val="1"/>
  <w:bordersDoNotSurroundFooter w:val="1"/>
  <w:documentProtection w:enforcement="0"/>
  <w:defaultTabStop w:val="720"/>
  <w:evenAndOddHeaders w:val="1"/>
  <w:drawingGridHorizontalSpacing w:val="110"/>
  <w:displayHorizontalDrawingGridEvery w:val="2"/>
  <w:characterSpacingControl w:val="doNotCompress"/>
  <w:compat>
    <w:ulTrailSpace/>
    <w:useFELayout/>
    <w:compatSetting w:name="compatibilityMode" w:uri="http://schemas.microsoft.com/office/word" w:val="12"/>
  </w:compat>
  <w:rsids>
    <w:rsidRoot w:val="00D27964"/>
    <w:rsid w:val="00032FC7"/>
    <w:rsid w:val="00033001"/>
    <w:rsid w:val="000611BE"/>
    <w:rsid w:val="00081957"/>
    <w:rsid w:val="000A1B6A"/>
    <w:rsid w:val="00144C74"/>
    <w:rsid w:val="00152852"/>
    <w:rsid w:val="001704DB"/>
    <w:rsid w:val="00170CEA"/>
    <w:rsid w:val="00180949"/>
    <w:rsid w:val="001A34E4"/>
    <w:rsid w:val="001F3810"/>
    <w:rsid w:val="002222BC"/>
    <w:rsid w:val="00276AB9"/>
    <w:rsid w:val="002851FB"/>
    <w:rsid w:val="002C0350"/>
    <w:rsid w:val="002D4AB3"/>
    <w:rsid w:val="003A4D4F"/>
    <w:rsid w:val="003A5FA0"/>
    <w:rsid w:val="003B671F"/>
    <w:rsid w:val="003D6698"/>
    <w:rsid w:val="0045590F"/>
    <w:rsid w:val="004D34BC"/>
    <w:rsid w:val="004F516C"/>
    <w:rsid w:val="00570F48"/>
    <w:rsid w:val="0059056F"/>
    <w:rsid w:val="006146B1"/>
    <w:rsid w:val="006669A0"/>
    <w:rsid w:val="006800BB"/>
    <w:rsid w:val="006F2814"/>
    <w:rsid w:val="006F3081"/>
    <w:rsid w:val="007353EE"/>
    <w:rsid w:val="00737321"/>
    <w:rsid w:val="007474AB"/>
    <w:rsid w:val="007552F8"/>
    <w:rsid w:val="007B5438"/>
    <w:rsid w:val="007D3392"/>
    <w:rsid w:val="00854AF2"/>
    <w:rsid w:val="008649E4"/>
    <w:rsid w:val="0087165E"/>
    <w:rsid w:val="00885853"/>
    <w:rsid w:val="00891A3E"/>
    <w:rsid w:val="00891C05"/>
    <w:rsid w:val="008F3763"/>
    <w:rsid w:val="009442B9"/>
    <w:rsid w:val="00944EC2"/>
    <w:rsid w:val="009543C0"/>
    <w:rsid w:val="00957F67"/>
    <w:rsid w:val="009C2D84"/>
    <w:rsid w:val="009C3B00"/>
    <w:rsid w:val="00A00E3B"/>
    <w:rsid w:val="00AA7A2C"/>
    <w:rsid w:val="00AE63A9"/>
    <w:rsid w:val="00AF421F"/>
    <w:rsid w:val="00B209C6"/>
    <w:rsid w:val="00B52EF4"/>
    <w:rsid w:val="00B66D4D"/>
    <w:rsid w:val="00BD263E"/>
    <w:rsid w:val="00BE4571"/>
    <w:rsid w:val="00BF5548"/>
    <w:rsid w:val="00C118F8"/>
    <w:rsid w:val="00C4281E"/>
    <w:rsid w:val="00C76AF8"/>
    <w:rsid w:val="00C76B68"/>
    <w:rsid w:val="00C77CEE"/>
    <w:rsid w:val="00C93B4F"/>
    <w:rsid w:val="00CF2CE3"/>
    <w:rsid w:val="00D2117F"/>
    <w:rsid w:val="00D27964"/>
    <w:rsid w:val="00D335F2"/>
    <w:rsid w:val="00D36A7E"/>
    <w:rsid w:val="00D54794"/>
    <w:rsid w:val="00D76296"/>
    <w:rsid w:val="00DB4969"/>
    <w:rsid w:val="00E15F29"/>
    <w:rsid w:val="00E36B54"/>
    <w:rsid w:val="00E4422C"/>
    <w:rsid w:val="00E748BF"/>
    <w:rsid w:val="00EC16E1"/>
    <w:rsid w:val="00EC29F3"/>
    <w:rsid w:val="00ED761C"/>
    <w:rsid w:val="00F63BD0"/>
    <w:rsid w:val="00FB0ECA"/>
    <w:rsid w:val="00FD4957"/>
    <w:rsid w:val="016712DF"/>
    <w:rsid w:val="02E14837"/>
    <w:rsid w:val="03A41260"/>
    <w:rsid w:val="05506239"/>
    <w:rsid w:val="05C53195"/>
    <w:rsid w:val="061A0169"/>
    <w:rsid w:val="06D71EC0"/>
    <w:rsid w:val="06FB192F"/>
    <w:rsid w:val="084F16B8"/>
    <w:rsid w:val="0914153C"/>
    <w:rsid w:val="0A9B454F"/>
    <w:rsid w:val="0ABA3D8B"/>
    <w:rsid w:val="0C882A1E"/>
    <w:rsid w:val="0D011B31"/>
    <w:rsid w:val="0D4B6CAD"/>
    <w:rsid w:val="0F2228D7"/>
    <w:rsid w:val="1066723F"/>
    <w:rsid w:val="118F2D3A"/>
    <w:rsid w:val="14C6105C"/>
    <w:rsid w:val="14FC4E42"/>
    <w:rsid w:val="168C385B"/>
    <w:rsid w:val="1921045D"/>
    <w:rsid w:val="1B661011"/>
    <w:rsid w:val="1C783F0C"/>
    <w:rsid w:val="1D011F8F"/>
    <w:rsid w:val="1D4E6802"/>
    <w:rsid w:val="1D841A20"/>
    <w:rsid w:val="1E387C93"/>
    <w:rsid w:val="1F763860"/>
    <w:rsid w:val="21A043A5"/>
    <w:rsid w:val="22C36EF2"/>
    <w:rsid w:val="26F31A26"/>
    <w:rsid w:val="27476939"/>
    <w:rsid w:val="27FF6799"/>
    <w:rsid w:val="28617CE4"/>
    <w:rsid w:val="29365F20"/>
    <w:rsid w:val="2B211307"/>
    <w:rsid w:val="2D4F011C"/>
    <w:rsid w:val="3289677F"/>
    <w:rsid w:val="32E672B3"/>
    <w:rsid w:val="37177049"/>
    <w:rsid w:val="371B0837"/>
    <w:rsid w:val="37B24B75"/>
    <w:rsid w:val="37D53AAA"/>
    <w:rsid w:val="38C146BA"/>
    <w:rsid w:val="39C25D0B"/>
    <w:rsid w:val="3BBD182F"/>
    <w:rsid w:val="3C640036"/>
    <w:rsid w:val="40D05B34"/>
    <w:rsid w:val="42146D81"/>
    <w:rsid w:val="43383CA7"/>
    <w:rsid w:val="44301FBF"/>
    <w:rsid w:val="46272981"/>
    <w:rsid w:val="46697A02"/>
    <w:rsid w:val="487A798F"/>
    <w:rsid w:val="48BF246A"/>
    <w:rsid w:val="49722AE7"/>
    <w:rsid w:val="4B994C95"/>
    <w:rsid w:val="4F041A77"/>
    <w:rsid w:val="503A22D1"/>
    <w:rsid w:val="57CA3D90"/>
    <w:rsid w:val="588A574C"/>
    <w:rsid w:val="5AE36410"/>
    <w:rsid w:val="5BF2575C"/>
    <w:rsid w:val="5D5C28C8"/>
    <w:rsid w:val="5EBC5DA2"/>
    <w:rsid w:val="5FE8210C"/>
    <w:rsid w:val="602D1738"/>
    <w:rsid w:val="60B22F01"/>
    <w:rsid w:val="613F57EB"/>
    <w:rsid w:val="627B26CE"/>
    <w:rsid w:val="63B57C69"/>
    <w:rsid w:val="645B4871"/>
    <w:rsid w:val="671A70A0"/>
    <w:rsid w:val="6ADA1601"/>
    <w:rsid w:val="6CF04CC6"/>
    <w:rsid w:val="6E5E1331"/>
    <w:rsid w:val="6FCE3363"/>
    <w:rsid w:val="70390009"/>
    <w:rsid w:val="717C61FC"/>
    <w:rsid w:val="7233508A"/>
    <w:rsid w:val="73742DB2"/>
    <w:rsid w:val="76701702"/>
    <w:rsid w:val="773C3373"/>
    <w:rsid w:val="77AD46A1"/>
    <w:rsid w:val="78BE49F1"/>
    <w:rsid w:val="797F157E"/>
    <w:rsid w:val="79BD2264"/>
    <w:rsid w:val="7AC51F54"/>
    <w:rsid w:val="7DA13553"/>
    <w:rsid w:val="7DE24DB3"/>
    <w:rsid w:val="7F200221"/>
    <w:rsid w:val="7FA936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footer"/>
    <w:basedOn w:val="1"/>
    <w:link w:val="17"/>
    <w:qFormat/>
    <w:uiPriority w:val="0"/>
    <w:pPr>
      <w:tabs>
        <w:tab w:val="center" w:pos="4153"/>
        <w:tab w:val="right" w:pos="8306"/>
      </w:tabs>
      <w:snapToGrid w:val="0"/>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Hyperlink"/>
    <w:basedOn w:val="9"/>
    <w:qFormat/>
    <w:uiPriority w:val="0"/>
    <w:rPr>
      <w:color w:val="0000FF" w:themeColor="hyperlink"/>
      <w:u w:val="single"/>
    </w:rPr>
  </w:style>
  <w:style w:type="table" w:customStyle="1" w:styleId="12">
    <w:name w:val="Table Normal"/>
    <w:unhideWhenUsed/>
    <w:qFormat/>
    <w:uiPriority w:val="2"/>
    <w:tblPr>
      <w:tblCellMar>
        <w:top w:w="0" w:type="dxa"/>
        <w:left w:w="0" w:type="dxa"/>
        <w:bottom w:w="0" w:type="dxa"/>
        <w:right w:w="0" w:type="dxa"/>
      </w:tblCellMar>
    </w:tblPr>
  </w:style>
  <w:style w:type="paragraph" w:styleId="13">
    <w:name w:val="List Paragraph"/>
    <w:basedOn w:val="1"/>
    <w:qFormat/>
    <w:uiPriority w:val="1"/>
  </w:style>
  <w:style w:type="paragraph" w:customStyle="1" w:styleId="14">
    <w:name w:val="Table Paragraph"/>
    <w:basedOn w:val="1"/>
    <w:qFormat/>
    <w:uiPriority w:val="1"/>
  </w:style>
  <w:style w:type="paragraph" w:customStyle="1" w:styleId="15">
    <w:name w:val="dahei"/>
    <w:basedOn w:val="1"/>
    <w:qFormat/>
    <w:uiPriority w:val="0"/>
    <w:pPr>
      <w:widowControl/>
      <w:spacing w:before="100" w:beforeAutospacing="1" w:after="100" w:afterAutospacing="1"/>
    </w:pPr>
    <w:rPr>
      <w:rFonts w:ascii="宋体" w:hAnsi="宋体" w:cs="宋体"/>
      <w:sz w:val="24"/>
    </w:rPr>
  </w:style>
  <w:style w:type="character" w:customStyle="1" w:styleId="16">
    <w:name w:val="页眉 Char"/>
    <w:basedOn w:val="9"/>
    <w:link w:val="6"/>
    <w:qFormat/>
    <w:uiPriority w:val="0"/>
    <w:rPr>
      <w:rFonts w:eastAsiaTheme="minorHAnsi"/>
      <w:sz w:val="18"/>
      <w:szCs w:val="18"/>
      <w:lang w:eastAsia="en-US"/>
    </w:rPr>
  </w:style>
  <w:style w:type="character" w:customStyle="1" w:styleId="17">
    <w:name w:val="页脚 Char"/>
    <w:basedOn w:val="9"/>
    <w:link w:val="5"/>
    <w:qFormat/>
    <w:uiPriority w:val="0"/>
    <w:rPr>
      <w:rFonts w:eastAsiaTheme="minorHAnsi"/>
      <w:sz w:val="18"/>
      <w:szCs w:val="18"/>
      <w:lang w:eastAsia="en-US"/>
    </w:rPr>
  </w:style>
  <w:style w:type="paragraph" w:customStyle="1" w:styleId="18">
    <w:name w:val="p0"/>
    <w:basedOn w:val="1"/>
    <w:qFormat/>
    <w:uiPriority w:val="0"/>
    <w:pPr>
      <w:widowControl/>
      <w:jc w:val="both"/>
    </w:pPr>
    <w:rPr>
      <w:rFonts w:ascii="Times New Roman" w:hAnsi="Times New Roman" w:eastAsia="宋体" w:cs="Times New Roman"/>
      <w:sz w:val="21"/>
      <w:szCs w:val="21"/>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84FC7F-6026-4F3A-991C-8E700740A9CF}">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92</Words>
  <Characters>529</Characters>
  <Lines>4</Lines>
  <Paragraphs>1</Paragraphs>
  <TotalTime>3</TotalTime>
  <ScaleCrop>false</ScaleCrop>
  <LinksUpToDate>false</LinksUpToDate>
  <CharactersWithSpaces>620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汐颜</cp:lastModifiedBy>
  <dcterms:modified xsi:type="dcterms:W3CDTF">2020-03-13T03:03:02Z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2052-11.1.0.9440</vt:lpwstr>
  </property>
</Properties>
</file>