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9"/>
        <w:rPr>
          <w:rFonts w:hint="eastAsia" w:ascii="方正小标宋_GBK" w:hAnsi="方正小标宋_GBK" w:eastAsia="方正小标宋_GBK" w:cs="方正小标宋_GBK"/>
          <w:b/>
          <w:bCs w:val="0"/>
          <w:sz w:val="44"/>
          <w:szCs w:val="44"/>
          <w:lang w:val="en-US" w:eastAsia="zh-CN"/>
        </w:rPr>
      </w:pPr>
      <w:r>
        <w:rPr>
          <w:rFonts w:hint="eastAsia" w:ascii="方正小标宋_GBK" w:hAnsi="方正小标宋_GBK" w:eastAsia="方正小标宋_GBK" w:cs="方正小标宋_GBK"/>
          <w:b/>
          <w:bCs w:val="0"/>
          <w:sz w:val="44"/>
          <w:szCs w:val="44"/>
          <w:lang w:val="en-US" w:eastAsia="zh-CN"/>
        </w:rPr>
        <w:t>2026年珠海市科普讲解大赛</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9"/>
        <w:rPr>
          <w:rFonts w:hint="eastAsia" w:ascii="方正小标宋_GBK" w:hAnsi="方正小标宋_GBK" w:eastAsia="方正小标宋_GBK" w:cs="方正小标宋_GBK"/>
          <w:b/>
          <w:bCs w:val="0"/>
          <w:sz w:val="44"/>
          <w:szCs w:val="44"/>
          <w:lang w:val="en-US" w:eastAsia="zh-CN"/>
        </w:rPr>
      </w:pPr>
      <w:r>
        <w:rPr>
          <w:rFonts w:hint="eastAsia" w:ascii="方正小标宋_GBK" w:hAnsi="方正小标宋_GBK" w:eastAsia="方正小标宋_GBK" w:cs="方正小标宋_GBK"/>
          <w:b/>
          <w:bCs w:val="0"/>
          <w:sz w:val="44"/>
          <w:szCs w:val="44"/>
          <w:lang w:val="en-US" w:eastAsia="zh-CN"/>
        </w:rPr>
        <w:t>“我讲科学”自选命题讲解资料库</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9"/>
        <w:rPr>
          <w:rFonts w:hint="eastAsia" w:ascii="方正小标宋_GBK" w:hAnsi="方正小标宋_GBK" w:eastAsia="方正小标宋_GBK" w:cs="方正小标宋_GBK"/>
          <w:b/>
          <w:bCs w:val="0"/>
          <w:sz w:val="44"/>
          <w:szCs w:val="44"/>
          <w:lang w:val="en-US" w:eastAsia="zh-CN"/>
        </w:rPr>
      </w:pPr>
      <w:r>
        <w:rPr>
          <w:rFonts w:hint="eastAsia" w:ascii="方正小标宋_GBK" w:hAnsi="方正小标宋_GBK" w:eastAsia="方正小标宋_GBK" w:cs="方正小标宋_GBK"/>
          <w:b/>
          <w:bCs w:val="0"/>
          <w:sz w:val="44"/>
          <w:szCs w:val="44"/>
          <w:lang w:val="en-US" w:eastAsia="zh-CN"/>
        </w:rPr>
        <w:t>（仅供参考）</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9"/>
        <w:rPr>
          <w:rFonts w:hint="eastAsia" w:ascii="方正小标宋_GBK" w:hAnsi="方正小标宋_GBK" w:eastAsia="方正小标宋_GBK" w:cs="方正小标宋_GBK"/>
          <w:b/>
          <w:bCs w:val="0"/>
          <w:sz w:val="44"/>
          <w:szCs w:val="44"/>
          <w:lang w:val="en-US" w:eastAsia="zh-CN"/>
        </w:rPr>
      </w:pPr>
    </w:p>
    <w:sdt>
      <w:sdtPr>
        <w:rPr>
          <w:rFonts w:ascii="宋体" w:hAnsi="宋体" w:eastAsia="宋体" w:cstheme="minorBidi"/>
          <w:kern w:val="2"/>
          <w:sz w:val="21"/>
          <w:szCs w:val="24"/>
          <w:lang w:val="en-US" w:eastAsia="zh-CN" w:bidi="ar-SA"/>
        </w:rPr>
        <w:id w:val="147465720"/>
        <w15:color w:val="DBDBDB"/>
        <w:docPartObj>
          <w:docPartGallery w:val="Table of Contents"/>
          <w:docPartUnique/>
        </w:docPartObj>
      </w:sdtPr>
      <w:sdtContent>
        <w:p>
          <w:pPr>
            <w:spacing w:before="0" w:beforeLines="0" w:after="0" w:afterLines="0" w:line="240" w:lineRule="auto"/>
            <w:ind w:left="0" w:leftChars="0" w:right="0" w:rightChars="0" w:firstLine="0" w:firstLineChars="0"/>
            <w:jc w:val="center"/>
            <w:rPr>
              <w:rFonts w:hint="eastAsia" w:ascii="黑体" w:hAnsi="黑体" w:eastAsia="黑体" w:cs="黑体"/>
              <w:b/>
              <w:bCs w:val="0"/>
              <w:sz w:val="32"/>
              <w:szCs w:val="32"/>
              <w:lang w:val="en-US" w:eastAsia="zh-CN"/>
            </w:rPr>
          </w:pPr>
          <w:bookmarkStart w:id="46" w:name="_GoBack"/>
          <w:bookmarkEnd w:id="46"/>
          <w:r>
            <w:rPr>
              <w:rFonts w:hint="eastAsia" w:ascii="黑体" w:hAnsi="黑体" w:eastAsia="黑体" w:cs="黑体"/>
              <w:b/>
              <w:bCs w:val="0"/>
              <w:sz w:val="32"/>
              <w:szCs w:val="32"/>
              <w:lang w:val="en-US" w:eastAsia="zh-CN"/>
            </w:rPr>
            <w:t>目录</w:t>
          </w:r>
        </w:p>
        <w:p>
          <w:pPr>
            <w:pStyle w:val="14"/>
            <w:tabs>
              <w:tab w:val="right" w:leader="dot" w:pos="8306"/>
            </w:tabs>
          </w:pPr>
          <w:r>
            <w:fldChar w:fldCharType="begin"/>
          </w:r>
          <w:r>
            <w:instrText xml:space="preserve">TOC \o "1-3" \h \u </w:instrText>
          </w:r>
          <w:r>
            <w:fldChar w:fldCharType="separate"/>
          </w:r>
          <w:r>
            <w:fldChar w:fldCharType="begin"/>
          </w:r>
          <w:r>
            <w:instrText xml:space="preserve"> HYPERLINK \l _Toc4817 </w:instrText>
          </w:r>
          <w:r>
            <w:fldChar w:fldCharType="separate"/>
          </w:r>
          <w:r>
            <w:rPr>
              <w:rFonts w:hint="eastAsia" w:ascii="黑体" w:hAnsi="黑体" w:eastAsia="黑体" w:cs="黑体"/>
              <w:bCs w:val="0"/>
              <w:szCs w:val="32"/>
              <w:lang w:val="en-US" w:eastAsia="zh-CN"/>
            </w:rPr>
            <w:t>一、人工智能</w:t>
          </w:r>
          <w:r>
            <w:tab/>
          </w:r>
          <w:r>
            <w:fldChar w:fldCharType="begin"/>
          </w:r>
          <w:r>
            <w:instrText xml:space="preserve"> PAGEREF _Toc4817 \h </w:instrText>
          </w:r>
          <w:r>
            <w:fldChar w:fldCharType="separate"/>
          </w:r>
          <w:r>
            <w:t>1</w:t>
          </w:r>
          <w:r>
            <w:fldChar w:fldCharType="end"/>
          </w:r>
          <w:r>
            <w:fldChar w:fldCharType="end"/>
          </w:r>
        </w:p>
        <w:p>
          <w:pPr>
            <w:pStyle w:val="15"/>
            <w:tabs>
              <w:tab w:val="right" w:leader="dot" w:pos="8306"/>
            </w:tabs>
          </w:pPr>
          <w:r>
            <w:fldChar w:fldCharType="begin"/>
          </w:r>
          <w:r>
            <w:instrText xml:space="preserve"> HYPERLINK \l _Toc30458 </w:instrText>
          </w:r>
          <w:r>
            <w:fldChar w:fldCharType="separate"/>
          </w:r>
          <w:r>
            <w:rPr>
              <w:rFonts w:hint="eastAsia" w:ascii="方正仿宋_GB2312" w:hAnsi="方正仿宋_GB2312" w:eastAsia="方正仿宋_GB2312" w:cs="方正仿宋_GB2312"/>
              <w:bCs w:val="0"/>
              <w:szCs w:val="32"/>
              <w:lang w:val="en-US" w:eastAsia="zh-CN"/>
            </w:rPr>
            <w:t>（一）AI医生——深度学习在医疗影像诊断中的应用</w:t>
          </w:r>
          <w:r>
            <w:tab/>
          </w:r>
          <w:r>
            <w:fldChar w:fldCharType="begin"/>
          </w:r>
          <w:r>
            <w:instrText xml:space="preserve"> PAGEREF _Toc30458 \h </w:instrText>
          </w:r>
          <w:r>
            <w:fldChar w:fldCharType="separate"/>
          </w:r>
          <w:r>
            <w:t>1</w:t>
          </w:r>
          <w:r>
            <w:fldChar w:fldCharType="end"/>
          </w:r>
          <w:r>
            <w:fldChar w:fldCharType="end"/>
          </w:r>
        </w:p>
        <w:p>
          <w:pPr>
            <w:pStyle w:val="15"/>
            <w:tabs>
              <w:tab w:val="right" w:leader="dot" w:pos="8306"/>
            </w:tabs>
          </w:pPr>
          <w:r>
            <w:fldChar w:fldCharType="begin"/>
          </w:r>
          <w:r>
            <w:instrText xml:space="preserve"> HYPERLINK \l _Toc20741 </w:instrText>
          </w:r>
          <w:r>
            <w:fldChar w:fldCharType="separate"/>
          </w:r>
          <w:r>
            <w:rPr>
              <w:rFonts w:hint="eastAsia" w:ascii="方正仿宋_GB2312" w:hAnsi="方正仿宋_GB2312" w:eastAsia="方正仿宋_GB2312" w:cs="方正仿宋_GB2312"/>
              <w:bCs w:val="0"/>
              <w:szCs w:val="32"/>
              <w:lang w:val="en-US" w:eastAsia="zh-CN"/>
            </w:rPr>
            <w:t>（二）汽车的“超级大脑”——自动驾驶背后的决策系统</w:t>
          </w:r>
          <w:r>
            <w:tab/>
          </w:r>
          <w:r>
            <w:fldChar w:fldCharType="begin"/>
          </w:r>
          <w:r>
            <w:instrText xml:space="preserve"> PAGEREF _Toc20741 \h </w:instrText>
          </w:r>
          <w:r>
            <w:fldChar w:fldCharType="separate"/>
          </w:r>
          <w:r>
            <w:t>2</w:t>
          </w:r>
          <w:r>
            <w:fldChar w:fldCharType="end"/>
          </w:r>
          <w:r>
            <w:fldChar w:fldCharType="end"/>
          </w:r>
        </w:p>
        <w:p>
          <w:pPr>
            <w:pStyle w:val="15"/>
            <w:tabs>
              <w:tab w:val="right" w:leader="dot" w:pos="8306"/>
            </w:tabs>
          </w:pPr>
          <w:r>
            <w:fldChar w:fldCharType="begin"/>
          </w:r>
          <w:r>
            <w:instrText xml:space="preserve"> HYPERLINK \l _Toc17601 </w:instrText>
          </w:r>
          <w:r>
            <w:fldChar w:fldCharType="separate"/>
          </w:r>
          <w:r>
            <w:rPr>
              <w:rFonts w:hint="eastAsia" w:ascii="方正仿宋_GB2312" w:hAnsi="方正仿宋_GB2312" w:eastAsia="方正仿宋_GB2312" w:cs="方正仿宋_GB2312"/>
              <w:bCs w:val="0"/>
              <w:szCs w:val="32"/>
              <w:lang w:val="en-US" w:eastAsia="zh-CN"/>
            </w:rPr>
            <w:t>（三）懂你的“聊天伙伴”——大语言模型与自然语言处理</w:t>
          </w:r>
          <w:r>
            <w:tab/>
          </w:r>
          <w:r>
            <w:fldChar w:fldCharType="begin"/>
          </w:r>
          <w:r>
            <w:instrText xml:space="preserve"> PAGEREF _Toc17601 \h </w:instrText>
          </w:r>
          <w:r>
            <w:fldChar w:fldCharType="separate"/>
          </w:r>
          <w:r>
            <w:t>4</w:t>
          </w:r>
          <w:r>
            <w:fldChar w:fldCharType="end"/>
          </w:r>
          <w:r>
            <w:fldChar w:fldCharType="end"/>
          </w:r>
        </w:p>
        <w:p>
          <w:pPr>
            <w:pStyle w:val="14"/>
            <w:tabs>
              <w:tab w:val="right" w:leader="dot" w:pos="8306"/>
            </w:tabs>
          </w:pPr>
          <w:r>
            <w:fldChar w:fldCharType="begin"/>
          </w:r>
          <w:r>
            <w:instrText xml:space="preserve"> HYPERLINK \l _Toc25511 </w:instrText>
          </w:r>
          <w:r>
            <w:fldChar w:fldCharType="separate"/>
          </w:r>
          <w:r>
            <w:rPr>
              <w:rFonts w:hint="eastAsia" w:ascii="黑体" w:hAnsi="黑体" w:eastAsia="黑体" w:cs="黑体"/>
              <w:bCs w:val="0"/>
              <w:szCs w:val="32"/>
              <w:lang w:val="en-US" w:eastAsia="zh-CN"/>
            </w:rPr>
            <w:t>二、具身智能</w:t>
          </w:r>
          <w:r>
            <w:tab/>
          </w:r>
          <w:r>
            <w:fldChar w:fldCharType="begin"/>
          </w:r>
          <w:r>
            <w:instrText xml:space="preserve"> PAGEREF _Toc25511 \h </w:instrText>
          </w:r>
          <w:r>
            <w:fldChar w:fldCharType="separate"/>
          </w:r>
          <w:r>
            <w:t>7</w:t>
          </w:r>
          <w:r>
            <w:fldChar w:fldCharType="end"/>
          </w:r>
          <w:r>
            <w:fldChar w:fldCharType="end"/>
          </w:r>
        </w:p>
        <w:p>
          <w:pPr>
            <w:pStyle w:val="15"/>
            <w:tabs>
              <w:tab w:val="right" w:leader="dot" w:pos="8306"/>
            </w:tabs>
          </w:pPr>
          <w:r>
            <w:fldChar w:fldCharType="begin"/>
          </w:r>
          <w:r>
            <w:instrText xml:space="preserve"> HYPERLINK \l _Toc22930 </w:instrText>
          </w:r>
          <w:r>
            <w:fldChar w:fldCharType="separate"/>
          </w:r>
          <w:r>
            <w:rPr>
              <w:rFonts w:hint="eastAsia" w:ascii="方正仿宋_GB2312" w:hAnsi="方正仿宋_GB2312" w:eastAsia="方正仿宋_GB2312" w:cs="方正仿宋_GB2312"/>
              <w:bCs w:val="0"/>
              <w:szCs w:val="32"/>
              <w:lang w:val="en-US" w:eastAsia="zh-CN"/>
            </w:rPr>
            <w:t>（一）走进具身智能机器人：不止是“机械臂”，更是智能伙伴</w:t>
          </w:r>
          <w:r>
            <w:tab/>
          </w:r>
          <w:r>
            <w:fldChar w:fldCharType="begin"/>
          </w:r>
          <w:r>
            <w:instrText xml:space="preserve"> PAGEREF _Toc22930 \h </w:instrText>
          </w:r>
          <w:r>
            <w:fldChar w:fldCharType="separate"/>
          </w:r>
          <w:r>
            <w:t>7</w:t>
          </w:r>
          <w:r>
            <w:fldChar w:fldCharType="end"/>
          </w:r>
          <w:r>
            <w:fldChar w:fldCharType="end"/>
          </w:r>
        </w:p>
        <w:p>
          <w:pPr>
            <w:pStyle w:val="15"/>
            <w:tabs>
              <w:tab w:val="right" w:leader="dot" w:pos="8306"/>
            </w:tabs>
          </w:pPr>
          <w:r>
            <w:fldChar w:fldCharType="begin"/>
          </w:r>
          <w:r>
            <w:instrText xml:space="preserve"> HYPERLINK \l _Toc32040 </w:instrText>
          </w:r>
          <w:r>
            <w:fldChar w:fldCharType="separate"/>
          </w:r>
          <w:r>
            <w:rPr>
              <w:rFonts w:hint="eastAsia" w:ascii="方正仿宋_GB2312" w:hAnsi="方正仿宋_GB2312" w:eastAsia="方正仿宋_GB2312" w:cs="方正仿宋_GB2312"/>
              <w:bCs w:val="0"/>
              <w:szCs w:val="32"/>
              <w:lang w:val="en-US" w:eastAsia="zh-CN"/>
            </w:rPr>
            <w:t>（二）柔性电子——具身智能的“感知神经”</w:t>
          </w:r>
          <w:r>
            <w:tab/>
          </w:r>
          <w:r>
            <w:fldChar w:fldCharType="begin"/>
          </w:r>
          <w:r>
            <w:instrText xml:space="preserve"> PAGEREF _Toc32040 \h </w:instrText>
          </w:r>
          <w:r>
            <w:fldChar w:fldCharType="separate"/>
          </w:r>
          <w:r>
            <w:t>8</w:t>
          </w:r>
          <w:r>
            <w:fldChar w:fldCharType="end"/>
          </w:r>
          <w:r>
            <w:fldChar w:fldCharType="end"/>
          </w:r>
        </w:p>
        <w:p>
          <w:pPr>
            <w:pStyle w:val="15"/>
            <w:tabs>
              <w:tab w:val="right" w:leader="dot" w:pos="8306"/>
            </w:tabs>
          </w:pPr>
          <w:r>
            <w:fldChar w:fldCharType="begin"/>
          </w:r>
          <w:r>
            <w:instrText xml:space="preserve"> HYPERLINK \l _Toc19154 </w:instrText>
          </w:r>
          <w:r>
            <w:fldChar w:fldCharType="separate"/>
          </w:r>
          <w:r>
            <w:rPr>
              <w:rFonts w:hint="eastAsia" w:ascii="方正仿宋_GB2312" w:hAnsi="方正仿宋_GB2312" w:eastAsia="方正仿宋_GB2312" w:cs="方正仿宋_GB2312"/>
              <w:bCs w:val="0"/>
              <w:szCs w:val="32"/>
              <w:lang w:val="en-US" w:eastAsia="zh-CN"/>
            </w:rPr>
            <w:t>（三）具身智能如何改变生活与产业？</w:t>
          </w:r>
          <w:r>
            <w:tab/>
          </w:r>
          <w:r>
            <w:fldChar w:fldCharType="begin"/>
          </w:r>
          <w:r>
            <w:instrText xml:space="preserve"> PAGEREF _Toc19154 \h </w:instrText>
          </w:r>
          <w:r>
            <w:fldChar w:fldCharType="separate"/>
          </w:r>
          <w:r>
            <w:t>10</w:t>
          </w:r>
          <w:r>
            <w:fldChar w:fldCharType="end"/>
          </w:r>
          <w:r>
            <w:fldChar w:fldCharType="end"/>
          </w:r>
        </w:p>
        <w:p>
          <w:pPr>
            <w:pStyle w:val="14"/>
            <w:tabs>
              <w:tab w:val="right" w:leader="dot" w:pos="8306"/>
            </w:tabs>
          </w:pPr>
          <w:r>
            <w:fldChar w:fldCharType="begin"/>
          </w:r>
          <w:r>
            <w:instrText xml:space="preserve"> HYPERLINK \l _Toc8006 </w:instrText>
          </w:r>
          <w:r>
            <w:fldChar w:fldCharType="separate"/>
          </w:r>
          <w:r>
            <w:rPr>
              <w:rFonts w:hint="eastAsia" w:ascii="黑体" w:hAnsi="黑体" w:eastAsia="黑体" w:cs="黑体"/>
              <w:bCs w:val="0"/>
              <w:szCs w:val="32"/>
              <w:lang w:val="en-US" w:eastAsia="zh-CN"/>
            </w:rPr>
            <w:t>三、量子科技</w:t>
          </w:r>
          <w:r>
            <w:tab/>
          </w:r>
          <w:r>
            <w:fldChar w:fldCharType="begin"/>
          </w:r>
          <w:r>
            <w:instrText xml:space="preserve"> PAGEREF _Toc8006 \h </w:instrText>
          </w:r>
          <w:r>
            <w:fldChar w:fldCharType="separate"/>
          </w:r>
          <w:r>
            <w:t>13</w:t>
          </w:r>
          <w:r>
            <w:fldChar w:fldCharType="end"/>
          </w:r>
          <w:r>
            <w:fldChar w:fldCharType="end"/>
          </w:r>
        </w:p>
        <w:p>
          <w:pPr>
            <w:pStyle w:val="15"/>
            <w:tabs>
              <w:tab w:val="right" w:leader="dot" w:pos="8306"/>
            </w:tabs>
          </w:pPr>
          <w:r>
            <w:fldChar w:fldCharType="begin"/>
          </w:r>
          <w:r>
            <w:instrText xml:space="preserve"> HYPERLINK \l _Toc30082 </w:instrText>
          </w:r>
          <w:r>
            <w:fldChar w:fldCharType="separate"/>
          </w:r>
          <w:r>
            <w:rPr>
              <w:rFonts w:hint="eastAsia" w:ascii="方正仿宋_GB2312" w:hAnsi="方正仿宋_GB2312" w:eastAsia="方正仿宋_GB2312" w:cs="方正仿宋_GB2312"/>
              <w:bCs w:val="0"/>
              <w:szCs w:val="32"/>
              <w:lang w:val="en-US" w:eastAsia="zh-CN"/>
            </w:rPr>
            <w:t>（一）用“波”读懂量子计算机：从叠加到干涉的底层逻辑</w:t>
          </w:r>
          <w:r>
            <w:tab/>
          </w:r>
          <w:r>
            <w:fldChar w:fldCharType="begin"/>
          </w:r>
          <w:r>
            <w:instrText xml:space="preserve"> PAGEREF _Toc30082 \h </w:instrText>
          </w:r>
          <w:r>
            <w:fldChar w:fldCharType="separate"/>
          </w:r>
          <w:r>
            <w:t>13</w:t>
          </w:r>
          <w:r>
            <w:fldChar w:fldCharType="end"/>
          </w:r>
          <w:r>
            <w:fldChar w:fldCharType="end"/>
          </w:r>
        </w:p>
        <w:p>
          <w:pPr>
            <w:pStyle w:val="15"/>
            <w:tabs>
              <w:tab w:val="right" w:leader="dot" w:pos="8306"/>
            </w:tabs>
          </w:pPr>
          <w:r>
            <w:fldChar w:fldCharType="begin"/>
          </w:r>
          <w:r>
            <w:instrText xml:space="preserve"> HYPERLINK \l _Toc5172 </w:instrText>
          </w:r>
          <w:r>
            <w:fldChar w:fldCharType="separate"/>
          </w:r>
          <w:r>
            <w:rPr>
              <w:rFonts w:hint="eastAsia" w:ascii="方正仿宋_GB2312" w:hAnsi="方正仿宋_GB2312" w:eastAsia="方正仿宋_GB2312" w:cs="方正仿宋_GB2312"/>
              <w:bCs w:val="0"/>
              <w:szCs w:val="32"/>
              <w:lang w:val="en-US" w:eastAsia="zh-CN"/>
            </w:rPr>
            <w:t>（二）什么是量子通信？</w:t>
          </w:r>
          <w:r>
            <w:tab/>
          </w:r>
          <w:r>
            <w:fldChar w:fldCharType="begin"/>
          </w:r>
          <w:r>
            <w:instrText xml:space="preserve"> PAGEREF _Toc5172 \h </w:instrText>
          </w:r>
          <w:r>
            <w:fldChar w:fldCharType="separate"/>
          </w:r>
          <w:r>
            <w:t>15</w:t>
          </w:r>
          <w:r>
            <w:fldChar w:fldCharType="end"/>
          </w:r>
          <w:r>
            <w:fldChar w:fldCharType="end"/>
          </w:r>
        </w:p>
        <w:p>
          <w:pPr>
            <w:pStyle w:val="14"/>
            <w:tabs>
              <w:tab w:val="right" w:leader="dot" w:pos="8306"/>
            </w:tabs>
          </w:pPr>
          <w:r>
            <w:fldChar w:fldCharType="begin"/>
          </w:r>
          <w:r>
            <w:instrText xml:space="preserve"> HYPERLINK \l _Toc16226 </w:instrText>
          </w:r>
          <w:r>
            <w:fldChar w:fldCharType="separate"/>
          </w:r>
          <w:r>
            <w:rPr>
              <w:rFonts w:hint="eastAsia" w:ascii="黑体" w:hAnsi="黑体" w:eastAsia="黑体" w:cs="黑体"/>
              <w:bCs w:val="0"/>
              <w:szCs w:val="32"/>
              <w:lang w:val="en-US" w:eastAsia="zh-CN"/>
            </w:rPr>
            <w:t>四、生物医药与健康</w:t>
          </w:r>
          <w:r>
            <w:tab/>
          </w:r>
          <w:r>
            <w:fldChar w:fldCharType="begin"/>
          </w:r>
          <w:r>
            <w:instrText xml:space="preserve"> PAGEREF _Toc16226 \h </w:instrText>
          </w:r>
          <w:r>
            <w:fldChar w:fldCharType="separate"/>
          </w:r>
          <w:r>
            <w:t>17</w:t>
          </w:r>
          <w:r>
            <w:fldChar w:fldCharType="end"/>
          </w:r>
          <w:r>
            <w:fldChar w:fldCharType="end"/>
          </w:r>
        </w:p>
        <w:p>
          <w:pPr>
            <w:pStyle w:val="15"/>
            <w:tabs>
              <w:tab w:val="right" w:leader="dot" w:pos="8306"/>
            </w:tabs>
          </w:pPr>
          <w:r>
            <w:fldChar w:fldCharType="begin"/>
          </w:r>
          <w:r>
            <w:instrText xml:space="preserve"> HYPERLINK \l _Toc9660 </w:instrText>
          </w:r>
          <w:r>
            <w:fldChar w:fldCharType="separate"/>
          </w:r>
          <w:r>
            <w:rPr>
              <w:rFonts w:hint="eastAsia" w:ascii="方正仿宋_GB2312" w:hAnsi="方正仿宋_GB2312" w:eastAsia="方正仿宋_GB2312" w:cs="方正仿宋_GB2312"/>
              <w:bCs w:val="0"/>
              <w:szCs w:val="32"/>
              <w:lang w:val="en-US" w:eastAsia="zh-CN"/>
            </w:rPr>
            <w:t>（一）mRNA疫苗：人体的“自我制药工厂”</w:t>
          </w:r>
          <w:r>
            <w:tab/>
          </w:r>
          <w:r>
            <w:fldChar w:fldCharType="begin"/>
          </w:r>
          <w:r>
            <w:instrText xml:space="preserve"> PAGEREF _Toc9660 \h </w:instrText>
          </w:r>
          <w:r>
            <w:fldChar w:fldCharType="separate"/>
          </w:r>
          <w:r>
            <w:t>17</w:t>
          </w:r>
          <w:r>
            <w:fldChar w:fldCharType="end"/>
          </w:r>
          <w:r>
            <w:fldChar w:fldCharType="end"/>
          </w:r>
        </w:p>
        <w:p>
          <w:pPr>
            <w:pStyle w:val="15"/>
            <w:tabs>
              <w:tab w:val="right" w:leader="dot" w:pos="8306"/>
            </w:tabs>
          </w:pPr>
          <w:r>
            <w:fldChar w:fldCharType="begin"/>
          </w:r>
          <w:r>
            <w:instrText xml:space="preserve"> HYPERLINK \l _Toc495 </w:instrText>
          </w:r>
          <w:r>
            <w:fldChar w:fldCharType="separate"/>
          </w:r>
          <w:r>
            <w:rPr>
              <w:rFonts w:hint="eastAsia" w:ascii="方正仿宋_GB2312" w:hAnsi="方正仿宋_GB2312" w:eastAsia="方正仿宋_GB2312" w:cs="方正仿宋_GB2312"/>
              <w:bCs w:val="0"/>
              <w:szCs w:val="32"/>
              <w:lang w:val="en-US" w:eastAsia="zh-CN"/>
            </w:rPr>
            <w:t>（二）CAR-T疗法：给免疫细胞装一颗“制导芯片”</w:t>
          </w:r>
          <w:r>
            <w:tab/>
          </w:r>
          <w:r>
            <w:fldChar w:fldCharType="begin"/>
          </w:r>
          <w:r>
            <w:instrText xml:space="preserve"> PAGEREF _Toc495 \h </w:instrText>
          </w:r>
          <w:r>
            <w:fldChar w:fldCharType="separate"/>
          </w:r>
          <w:r>
            <w:t>18</w:t>
          </w:r>
          <w:r>
            <w:fldChar w:fldCharType="end"/>
          </w:r>
          <w:r>
            <w:fldChar w:fldCharType="end"/>
          </w:r>
        </w:p>
        <w:p>
          <w:pPr>
            <w:pStyle w:val="15"/>
            <w:tabs>
              <w:tab w:val="right" w:leader="dot" w:pos="8306"/>
            </w:tabs>
          </w:pPr>
          <w:r>
            <w:fldChar w:fldCharType="begin"/>
          </w:r>
          <w:r>
            <w:instrText xml:space="preserve"> HYPERLINK \l _Toc10946 </w:instrText>
          </w:r>
          <w:r>
            <w:fldChar w:fldCharType="separate"/>
          </w:r>
          <w:r>
            <w:rPr>
              <w:rFonts w:hint="eastAsia" w:ascii="方正仿宋_GB2312" w:hAnsi="方正仿宋_GB2312" w:eastAsia="方正仿宋_GB2312" w:cs="方正仿宋_GB2312"/>
              <w:bCs w:val="0"/>
              <w:szCs w:val="32"/>
              <w:lang w:val="en-US" w:eastAsia="zh-CN"/>
            </w:rPr>
            <w:t>（三）肠道菌群：被低估的“第二大脑”</w:t>
          </w:r>
          <w:r>
            <w:tab/>
          </w:r>
          <w:r>
            <w:fldChar w:fldCharType="begin"/>
          </w:r>
          <w:r>
            <w:instrText xml:space="preserve"> PAGEREF _Toc10946 \h </w:instrText>
          </w:r>
          <w:r>
            <w:fldChar w:fldCharType="separate"/>
          </w:r>
          <w:r>
            <w:t>20</w:t>
          </w:r>
          <w:r>
            <w:fldChar w:fldCharType="end"/>
          </w:r>
          <w:r>
            <w:fldChar w:fldCharType="end"/>
          </w:r>
        </w:p>
        <w:p>
          <w:pPr>
            <w:pStyle w:val="14"/>
            <w:tabs>
              <w:tab w:val="right" w:leader="dot" w:pos="8306"/>
            </w:tabs>
          </w:pPr>
          <w:r>
            <w:fldChar w:fldCharType="begin"/>
          </w:r>
          <w:r>
            <w:instrText xml:space="preserve"> HYPERLINK \l _Toc30323 </w:instrText>
          </w:r>
          <w:r>
            <w:fldChar w:fldCharType="separate"/>
          </w:r>
          <w:r>
            <w:rPr>
              <w:rFonts w:hint="eastAsia" w:ascii="黑体" w:hAnsi="黑体" w:eastAsia="黑体" w:cs="黑体"/>
              <w:bCs w:val="0"/>
              <w:szCs w:val="32"/>
              <w:lang w:val="en-US" w:eastAsia="zh-CN"/>
            </w:rPr>
            <w:t>五、航空航天科学</w:t>
          </w:r>
          <w:r>
            <w:tab/>
          </w:r>
          <w:r>
            <w:fldChar w:fldCharType="begin"/>
          </w:r>
          <w:r>
            <w:instrText xml:space="preserve"> PAGEREF _Toc30323 \h </w:instrText>
          </w:r>
          <w:r>
            <w:fldChar w:fldCharType="separate"/>
          </w:r>
          <w:r>
            <w:t>23</w:t>
          </w:r>
          <w:r>
            <w:fldChar w:fldCharType="end"/>
          </w:r>
          <w:r>
            <w:fldChar w:fldCharType="end"/>
          </w:r>
        </w:p>
        <w:p>
          <w:pPr>
            <w:pStyle w:val="15"/>
            <w:tabs>
              <w:tab w:val="right" w:leader="dot" w:pos="8306"/>
            </w:tabs>
          </w:pPr>
          <w:r>
            <w:fldChar w:fldCharType="begin"/>
          </w:r>
          <w:r>
            <w:instrText xml:space="preserve"> HYPERLINK \l _Toc1427 </w:instrText>
          </w:r>
          <w:r>
            <w:fldChar w:fldCharType="separate"/>
          </w:r>
          <w:r>
            <w:rPr>
              <w:rFonts w:hint="eastAsia" w:ascii="方正仿宋_GB2312" w:hAnsi="方正仿宋_GB2312" w:eastAsia="方正仿宋_GB2312" w:cs="方正仿宋_GB2312"/>
              <w:bCs w:val="0"/>
              <w:szCs w:val="32"/>
              <w:lang w:val="en-US" w:eastAsia="zh-CN"/>
            </w:rPr>
            <w:t>（一）天宫空间站：太空中的天宫家园</w:t>
          </w:r>
          <w:r>
            <w:tab/>
          </w:r>
          <w:r>
            <w:fldChar w:fldCharType="begin"/>
          </w:r>
          <w:r>
            <w:instrText xml:space="preserve"> PAGEREF _Toc1427 \h </w:instrText>
          </w:r>
          <w:r>
            <w:fldChar w:fldCharType="separate"/>
          </w:r>
          <w:r>
            <w:t>23</w:t>
          </w:r>
          <w:r>
            <w:fldChar w:fldCharType="end"/>
          </w:r>
          <w:r>
            <w:fldChar w:fldCharType="end"/>
          </w:r>
        </w:p>
        <w:p>
          <w:pPr>
            <w:pStyle w:val="15"/>
            <w:tabs>
              <w:tab w:val="right" w:leader="dot" w:pos="8306"/>
            </w:tabs>
          </w:pPr>
          <w:r>
            <w:fldChar w:fldCharType="begin"/>
          </w:r>
          <w:r>
            <w:instrText xml:space="preserve"> HYPERLINK \l _Toc29575 </w:instrText>
          </w:r>
          <w:r>
            <w:fldChar w:fldCharType="separate"/>
          </w:r>
          <w:r>
            <w:rPr>
              <w:rFonts w:hint="eastAsia" w:ascii="方正仿宋_GB2312" w:hAnsi="方正仿宋_GB2312" w:eastAsia="方正仿宋_GB2312" w:cs="方正仿宋_GB2312"/>
              <w:bCs w:val="0"/>
              <w:szCs w:val="32"/>
              <w:lang w:val="en-US" w:eastAsia="zh-CN"/>
            </w:rPr>
            <w:t>（二）天问一号：探秘红色火星之旅</w:t>
          </w:r>
          <w:r>
            <w:tab/>
          </w:r>
          <w:r>
            <w:fldChar w:fldCharType="begin"/>
          </w:r>
          <w:r>
            <w:instrText xml:space="preserve"> PAGEREF _Toc29575 \h </w:instrText>
          </w:r>
          <w:r>
            <w:fldChar w:fldCharType="separate"/>
          </w:r>
          <w:r>
            <w:t>24</w:t>
          </w:r>
          <w:r>
            <w:fldChar w:fldCharType="end"/>
          </w:r>
          <w:r>
            <w:fldChar w:fldCharType="end"/>
          </w:r>
        </w:p>
        <w:p>
          <w:pPr>
            <w:pStyle w:val="15"/>
            <w:tabs>
              <w:tab w:val="right" w:leader="dot" w:pos="8306"/>
            </w:tabs>
          </w:pPr>
          <w:r>
            <w:fldChar w:fldCharType="begin"/>
          </w:r>
          <w:r>
            <w:instrText xml:space="preserve"> HYPERLINK \l _Toc16861 </w:instrText>
          </w:r>
          <w:r>
            <w:fldChar w:fldCharType="separate"/>
          </w:r>
          <w:r>
            <w:rPr>
              <w:rFonts w:hint="eastAsia" w:ascii="方正仿宋_GB2312" w:hAnsi="方正仿宋_GB2312" w:eastAsia="方正仿宋_GB2312" w:cs="方正仿宋_GB2312"/>
              <w:bCs w:val="0"/>
              <w:szCs w:val="32"/>
              <w:lang w:val="en-US" w:eastAsia="zh-CN"/>
            </w:rPr>
            <w:t>（三）高空无人机：临近空间飞行利器</w:t>
          </w:r>
          <w:r>
            <w:tab/>
          </w:r>
          <w:r>
            <w:fldChar w:fldCharType="begin"/>
          </w:r>
          <w:r>
            <w:instrText xml:space="preserve"> PAGEREF _Toc16861 \h </w:instrText>
          </w:r>
          <w:r>
            <w:fldChar w:fldCharType="separate"/>
          </w:r>
          <w:r>
            <w:t>25</w:t>
          </w:r>
          <w:r>
            <w:fldChar w:fldCharType="end"/>
          </w:r>
          <w:r>
            <w:fldChar w:fldCharType="end"/>
          </w:r>
        </w:p>
        <w:p>
          <w:pPr>
            <w:pStyle w:val="14"/>
            <w:tabs>
              <w:tab w:val="right" w:leader="dot" w:pos="8306"/>
            </w:tabs>
          </w:pPr>
          <w:r>
            <w:fldChar w:fldCharType="begin"/>
          </w:r>
          <w:r>
            <w:instrText xml:space="preserve"> HYPERLINK \l _Toc4022 </w:instrText>
          </w:r>
          <w:r>
            <w:fldChar w:fldCharType="separate"/>
          </w:r>
          <w:r>
            <w:rPr>
              <w:rFonts w:hint="eastAsia" w:ascii="黑体" w:hAnsi="黑体" w:eastAsia="黑体" w:cs="黑体"/>
              <w:bCs w:val="0"/>
              <w:szCs w:val="32"/>
              <w:lang w:val="en-US" w:eastAsia="zh-CN"/>
            </w:rPr>
            <w:t>六、海洋科学</w:t>
          </w:r>
          <w:r>
            <w:tab/>
          </w:r>
          <w:r>
            <w:fldChar w:fldCharType="begin"/>
          </w:r>
          <w:r>
            <w:instrText xml:space="preserve"> PAGEREF _Toc4022 \h </w:instrText>
          </w:r>
          <w:r>
            <w:fldChar w:fldCharType="separate"/>
          </w:r>
          <w:r>
            <w:t>28</w:t>
          </w:r>
          <w:r>
            <w:fldChar w:fldCharType="end"/>
          </w:r>
          <w:r>
            <w:fldChar w:fldCharType="end"/>
          </w:r>
        </w:p>
        <w:p>
          <w:pPr>
            <w:pStyle w:val="15"/>
            <w:tabs>
              <w:tab w:val="right" w:leader="dot" w:pos="8306"/>
            </w:tabs>
          </w:pPr>
          <w:r>
            <w:fldChar w:fldCharType="begin"/>
          </w:r>
          <w:r>
            <w:instrText xml:space="preserve"> HYPERLINK \l _Toc14155 </w:instrText>
          </w:r>
          <w:r>
            <w:fldChar w:fldCharType="separate"/>
          </w:r>
          <w:r>
            <w:rPr>
              <w:rFonts w:hint="eastAsia" w:ascii="方正仿宋_GB2312" w:hAnsi="方正仿宋_GB2312" w:eastAsia="方正仿宋_GB2312" w:cs="方正仿宋_GB2312"/>
              <w:bCs w:val="0"/>
              <w:szCs w:val="32"/>
              <w:lang w:val="en-US" w:eastAsia="zh-CN"/>
            </w:rPr>
            <w:t>（一）声呐技术在海洋中的应用</w:t>
          </w:r>
          <w:r>
            <w:tab/>
          </w:r>
          <w:r>
            <w:fldChar w:fldCharType="begin"/>
          </w:r>
          <w:r>
            <w:instrText xml:space="preserve"> PAGEREF _Toc14155 \h </w:instrText>
          </w:r>
          <w:r>
            <w:fldChar w:fldCharType="separate"/>
          </w:r>
          <w:r>
            <w:t>28</w:t>
          </w:r>
          <w:r>
            <w:fldChar w:fldCharType="end"/>
          </w:r>
          <w:r>
            <w:fldChar w:fldCharType="end"/>
          </w:r>
        </w:p>
        <w:p>
          <w:pPr>
            <w:pStyle w:val="15"/>
            <w:tabs>
              <w:tab w:val="right" w:leader="dot" w:pos="8306"/>
            </w:tabs>
          </w:pPr>
          <w:r>
            <w:fldChar w:fldCharType="begin"/>
          </w:r>
          <w:r>
            <w:instrText xml:space="preserve"> HYPERLINK \l _Toc6688 </w:instrText>
          </w:r>
          <w:r>
            <w:fldChar w:fldCharType="separate"/>
          </w:r>
          <w:r>
            <w:rPr>
              <w:rFonts w:hint="eastAsia" w:ascii="方正仿宋_GB2312" w:hAnsi="方正仿宋_GB2312" w:eastAsia="方正仿宋_GB2312" w:cs="方正仿宋_GB2312"/>
              <w:bCs w:val="0"/>
              <w:szCs w:val="32"/>
              <w:lang w:val="en-US" w:eastAsia="zh-CN"/>
            </w:rPr>
            <w:t>（二）深海热液区与生命的起源</w:t>
          </w:r>
          <w:r>
            <w:tab/>
          </w:r>
          <w:r>
            <w:fldChar w:fldCharType="begin"/>
          </w:r>
          <w:r>
            <w:instrText xml:space="preserve"> PAGEREF _Toc6688 \h </w:instrText>
          </w:r>
          <w:r>
            <w:fldChar w:fldCharType="separate"/>
          </w:r>
          <w:r>
            <w:t>29</w:t>
          </w:r>
          <w:r>
            <w:fldChar w:fldCharType="end"/>
          </w:r>
          <w:r>
            <w:fldChar w:fldCharType="end"/>
          </w:r>
        </w:p>
        <w:p>
          <w:pPr>
            <w:pStyle w:val="15"/>
            <w:tabs>
              <w:tab w:val="right" w:leader="dot" w:pos="8306"/>
            </w:tabs>
          </w:pPr>
          <w:r>
            <w:fldChar w:fldCharType="begin"/>
          </w:r>
          <w:r>
            <w:instrText xml:space="preserve"> HYPERLINK \l _Toc32277 </w:instrText>
          </w:r>
          <w:r>
            <w:fldChar w:fldCharType="separate"/>
          </w:r>
          <w:r>
            <w:rPr>
              <w:rFonts w:hint="eastAsia" w:ascii="方正仿宋_GB2312" w:hAnsi="方正仿宋_GB2312" w:eastAsia="方正仿宋_GB2312" w:cs="方正仿宋_GB2312"/>
              <w:bCs w:val="0"/>
              <w:szCs w:val="32"/>
              <w:lang w:val="en-US" w:eastAsia="zh-CN"/>
            </w:rPr>
            <w:t>（三）砗磲与珊瑚礁的共生</w:t>
          </w:r>
          <w:r>
            <w:tab/>
          </w:r>
          <w:r>
            <w:fldChar w:fldCharType="begin"/>
          </w:r>
          <w:r>
            <w:instrText xml:space="preserve"> PAGEREF _Toc32277 \h </w:instrText>
          </w:r>
          <w:r>
            <w:fldChar w:fldCharType="separate"/>
          </w:r>
          <w:r>
            <w:t>31</w:t>
          </w:r>
          <w:r>
            <w:fldChar w:fldCharType="end"/>
          </w:r>
          <w:r>
            <w:fldChar w:fldCharType="end"/>
          </w:r>
        </w:p>
        <w:p>
          <w:pPr>
            <w:pStyle w:val="14"/>
            <w:tabs>
              <w:tab w:val="right" w:leader="dot" w:pos="8306"/>
            </w:tabs>
          </w:pPr>
          <w:r>
            <w:fldChar w:fldCharType="begin"/>
          </w:r>
          <w:r>
            <w:instrText xml:space="preserve"> HYPERLINK \l _Toc8526 </w:instrText>
          </w:r>
          <w:r>
            <w:fldChar w:fldCharType="separate"/>
          </w:r>
          <w:r>
            <w:rPr>
              <w:rFonts w:hint="eastAsia" w:ascii="黑体" w:hAnsi="黑体" w:eastAsia="黑体" w:cs="黑体"/>
              <w:bCs w:val="0"/>
              <w:szCs w:val="32"/>
              <w:lang w:val="en-US" w:eastAsia="zh-CN"/>
            </w:rPr>
            <w:t>七、新材料</w:t>
          </w:r>
          <w:r>
            <w:tab/>
          </w:r>
          <w:r>
            <w:fldChar w:fldCharType="begin"/>
          </w:r>
          <w:r>
            <w:instrText xml:space="preserve"> PAGEREF _Toc8526 \h </w:instrText>
          </w:r>
          <w:r>
            <w:fldChar w:fldCharType="separate"/>
          </w:r>
          <w:r>
            <w:t>33</w:t>
          </w:r>
          <w:r>
            <w:fldChar w:fldCharType="end"/>
          </w:r>
          <w:r>
            <w:fldChar w:fldCharType="end"/>
          </w:r>
        </w:p>
        <w:p>
          <w:pPr>
            <w:pStyle w:val="15"/>
            <w:tabs>
              <w:tab w:val="right" w:leader="dot" w:pos="8306"/>
            </w:tabs>
          </w:pPr>
          <w:r>
            <w:fldChar w:fldCharType="begin"/>
          </w:r>
          <w:r>
            <w:instrText xml:space="preserve"> HYPERLINK \l _Toc11528 </w:instrText>
          </w:r>
          <w:r>
            <w:fldChar w:fldCharType="separate"/>
          </w:r>
          <w:r>
            <w:rPr>
              <w:rFonts w:hint="eastAsia" w:ascii="方正仿宋_GB2312" w:hAnsi="方正仿宋_GB2312" w:eastAsia="方正仿宋_GB2312" w:cs="方正仿宋_GB2312"/>
              <w:bCs w:val="0"/>
              <w:szCs w:val="32"/>
              <w:lang w:val="en-US" w:eastAsia="zh-CN"/>
            </w:rPr>
            <w:t>（一）能“记住形状”的智能金属——记忆合金的奥秘</w:t>
          </w:r>
          <w:r>
            <w:tab/>
          </w:r>
          <w:r>
            <w:fldChar w:fldCharType="begin"/>
          </w:r>
          <w:r>
            <w:instrText xml:space="preserve"> PAGEREF _Toc11528 \h </w:instrText>
          </w:r>
          <w:r>
            <w:fldChar w:fldCharType="separate"/>
          </w:r>
          <w:r>
            <w:t>33</w:t>
          </w:r>
          <w:r>
            <w:fldChar w:fldCharType="end"/>
          </w:r>
          <w:r>
            <w:fldChar w:fldCharType="end"/>
          </w:r>
        </w:p>
        <w:p>
          <w:pPr>
            <w:pStyle w:val="15"/>
            <w:tabs>
              <w:tab w:val="right" w:leader="dot" w:pos="8306"/>
            </w:tabs>
          </w:pPr>
          <w:r>
            <w:fldChar w:fldCharType="begin"/>
          </w:r>
          <w:r>
            <w:instrText xml:space="preserve"> HYPERLINK \l _Toc16795 </w:instrText>
          </w:r>
          <w:r>
            <w:fldChar w:fldCharType="separate"/>
          </w:r>
          <w:r>
            <w:rPr>
              <w:rFonts w:hint="eastAsia" w:ascii="方正仿宋_GB2312" w:hAnsi="方正仿宋_GB2312" w:eastAsia="方正仿宋_GB2312" w:cs="方正仿宋_GB2312"/>
              <w:bCs w:val="0"/>
              <w:szCs w:val="32"/>
              <w:lang w:val="en-US" w:eastAsia="zh-CN"/>
            </w:rPr>
            <w:t>（二）芯片与量子科技的基石——半导体新材料</w:t>
          </w:r>
          <w:r>
            <w:tab/>
          </w:r>
          <w:r>
            <w:fldChar w:fldCharType="begin"/>
          </w:r>
          <w:r>
            <w:instrText xml:space="preserve"> PAGEREF _Toc16795 \h </w:instrText>
          </w:r>
          <w:r>
            <w:fldChar w:fldCharType="separate"/>
          </w:r>
          <w:r>
            <w:t>34</w:t>
          </w:r>
          <w:r>
            <w:fldChar w:fldCharType="end"/>
          </w:r>
          <w:r>
            <w:fldChar w:fldCharType="end"/>
          </w:r>
        </w:p>
        <w:p>
          <w:pPr>
            <w:pStyle w:val="15"/>
            <w:tabs>
              <w:tab w:val="right" w:leader="dot" w:pos="8306"/>
            </w:tabs>
          </w:pPr>
          <w:r>
            <w:fldChar w:fldCharType="begin"/>
          </w:r>
          <w:r>
            <w:instrText xml:space="preserve"> HYPERLINK \l _Toc21711 </w:instrText>
          </w:r>
          <w:r>
            <w:fldChar w:fldCharType="separate"/>
          </w:r>
          <w:r>
            <w:rPr>
              <w:rFonts w:hint="eastAsia" w:ascii="方正仿宋_GB2312" w:hAnsi="方正仿宋_GB2312" w:eastAsia="方正仿宋_GB2312" w:cs="方正仿宋_GB2312"/>
              <w:bCs w:val="0"/>
              <w:szCs w:val="32"/>
              <w:lang w:val="en-US" w:eastAsia="zh-CN"/>
            </w:rPr>
            <w:t>（三）航天级“超级纤维”——T1200 级超高强度碳纤维的力量密码</w:t>
          </w:r>
          <w:r>
            <w:tab/>
          </w:r>
          <w:r>
            <w:fldChar w:fldCharType="begin"/>
          </w:r>
          <w:r>
            <w:instrText xml:space="preserve"> PAGEREF _Toc21711 \h </w:instrText>
          </w:r>
          <w:r>
            <w:fldChar w:fldCharType="separate"/>
          </w:r>
          <w:r>
            <w:t>36</w:t>
          </w:r>
          <w:r>
            <w:fldChar w:fldCharType="end"/>
          </w:r>
          <w:r>
            <w:fldChar w:fldCharType="end"/>
          </w:r>
        </w:p>
        <w:p>
          <w:r>
            <w:fldChar w:fldCharType="end"/>
          </w:r>
        </w:p>
      </w:sdtContent>
    </w:sdt>
    <w:p>
      <w:pPr>
        <w:keepNext w:val="0"/>
        <w:keepLines w:val="0"/>
        <w:pageBreakBefore w:val="0"/>
        <w:widowControl w:val="0"/>
        <w:kinsoku/>
        <w:wordWrap/>
        <w:overflowPunct/>
        <w:topLinePunct w:val="0"/>
        <w:autoSpaceDE/>
        <w:autoSpaceDN/>
        <w:bidi w:val="0"/>
        <w:adjustRightInd/>
        <w:snapToGrid/>
        <w:spacing w:line="579" w:lineRule="exact"/>
        <w:ind w:left="0" w:firstLine="643" w:firstLineChars="200"/>
        <w:textAlignment w:val="auto"/>
        <w:outlineLvl w:val="0"/>
        <w:rPr>
          <w:rFonts w:hint="eastAsia" w:ascii="黑体" w:hAnsi="黑体" w:eastAsia="黑体" w:cs="黑体"/>
          <w:b/>
          <w:bCs w:val="0"/>
          <w:sz w:val="32"/>
          <w:szCs w:val="32"/>
          <w:lang w:val="en-US" w:eastAsia="zh-CN"/>
        </w:rPr>
        <w:sectPr>
          <w:pgSz w:w="11906" w:h="16838"/>
          <w:pgMar w:top="1440" w:right="1800" w:bottom="1440" w:left="1800" w:header="851" w:footer="992" w:gutter="0"/>
          <w:pgNumType w:fmt="decimal"/>
          <w:cols w:space="425" w:num="1"/>
          <w:docGrid w:type="lines" w:linePitch="312" w:charSpace="0"/>
        </w:sectPr>
      </w:pPr>
      <w:bookmarkStart w:id="0" w:name="_Toc4817"/>
    </w:p>
    <w:p>
      <w:pPr>
        <w:keepNext w:val="0"/>
        <w:keepLines w:val="0"/>
        <w:pageBreakBefore w:val="0"/>
        <w:widowControl w:val="0"/>
        <w:kinsoku/>
        <w:wordWrap/>
        <w:overflowPunct/>
        <w:topLinePunct w:val="0"/>
        <w:autoSpaceDE/>
        <w:autoSpaceDN/>
        <w:bidi w:val="0"/>
        <w:adjustRightInd/>
        <w:snapToGrid/>
        <w:spacing w:line="579" w:lineRule="exact"/>
        <w:ind w:left="0" w:firstLine="643" w:firstLineChars="200"/>
        <w:textAlignment w:val="auto"/>
        <w:outlineLvl w:val="0"/>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一、人工智能</w:t>
      </w:r>
      <w:bookmarkEnd w:id="0"/>
    </w:p>
    <w:p>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1" w:name="_Toc15641"/>
      <w:bookmarkStart w:id="2" w:name="_Toc30458"/>
      <w:r>
        <w:rPr>
          <w:rFonts w:hint="eastAsia" w:ascii="方正仿宋_GB2312" w:hAnsi="方正仿宋_GB2312" w:eastAsia="方正仿宋_GB2312" w:cs="方正仿宋_GB2312"/>
          <w:b/>
          <w:bCs w:val="0"/>
          <w:sz w:val="32"/>
          <w:szCs w:val="32"/>
          <w:lang w:val="en-US" w:eastAsia="zh-CN"/>
        </w:rPr>
        <w:t>AI医生——深度学习在医疗影像诊断中的应用</w:t>
      </w:r>
      <w:bookmarkEnd w:id="1"/>
      <w:bookmarkEnd w:id="2"/>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在现代医学飞速发展的今天，人工智能已突破技术边界，深度融入医疗诊断的核心场景，成为临床医生不可或缺的得力助手，其中在医疗影像诊断领域的应用最为成熟、成效最为显著，彻底改变了传统影像诊断的模式，为精准医疗注入了新的活力。</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传统医疗影像诊断高度依赖放射科医生的临床经验，诊断过程耗时费力，且存在诸多局限。影像诊断涉及CT、MRI、X光片等多种类型的影像资料，医生需要逐帧观察、细致分析，不仅要识别明显的病灶，还要捕捉微小的异常信号——如早期肺结节、细微的肿瘤浸润、隐蔽的血管病变等。长时间的视觉专注极易导致医生产生视觉疲劳，进而影响诊断精度，出现漏诊、误诊的情况，尤其在基层医疗机构，资深放射科医生资源匮乏，这种局限更为突出，难以满足临床诊断的高效、精准需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而基于深度学习技术的AI医生，恰好弥补了传统诊断模式的不足，以惊人的速度和超高的精度，为影像诊断提供了强有力的辅助支持，成为医生的“智能搭档”。AI医生之所以能实现高效诊断，其核心原理在于深度学习中的“卷积神经网络”，这是一种模仿人类生物视觉机制设计的算法模型，能够像人类大脑一样，对图像信息进行分层处理、逐步提取，最终实现精准识别。</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卷积神经网络的工作逻辑，本质上是“数据训练+特征学习”的过程。科研人员会收集成千上万张标注了详细病灶信息的医疗影像数据，包括肺结节、肿瘤、骨折、血管畸形等不同类型的病灶，以及对应的临床诊断结果，将这些数据作为训练样本输入计算机。算法会自动对影像进行分层解析，从最基础的图像边缘、纹理特征，到复杂的病灶形态、大小、密度，再到病灶与周围组织的关联关系，逐步提取关键特征，建立病灶识别的核心模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经过反复的训练、调试和优化，AI模型会不断完善识别逻辑，最终能够像资深放射科医生一样“看图识病”——不仅能快速筛选出异常影像，精准标注病灶的位置、大小和形态，还能结合训练数据中的临床经验，给出初步的诊断建议。与传统诊断相比，AI医生的诊断速度提升了数十倍，每秒可处理上百帧影像，同时诊断精度也大幅提高，对早期微小病灶的识别率甚至超过部分年轻医生，有效降低了漏诊、误诊的概率。</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如今，AI医生已广泛应用于肺部、脑部、乳腺、骨骼等多个部位的影像诊断，不仅减轻了医生的工作负担，让医生能够将更多精力投入到复杂病例的分析和治疗方案的制定中，还能助力基层医疗机构提升诊断水平，让优质医疗资源实现高效下沉，为患者争取更早的治疗时机，推动医疗诊断向更高效、更精准、更普惠的方向发展。</w:t>
      </w:r>
    </w:p>
    <w:p>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3" w:name="_Toc11927"/>
      <w:bookmarkStart w:id="4" w:name="_Toc20741"/>
      <w:r>
        <w:rPr>
          <w:rFonts w:hint="eastAsia" w:ascii="方正仿宋_GB2312" w:hAnsi="方正仿宋_GB2312" w:eastAsia="方正仿宋_GB2312" w:cs="方正仿宋_GB2312"/>
          <w:b/>
          <w:bCs w:val="0"/>
          <w:sz w:val="32"/>
          <w:szCs w:val="32"/>
          <w:lang w:val="en-US" w:eastAsia="zh-CN"/>
        </w:rPr>
        <w:t>汽车的“超级大脑”——自动驾驶背后的决策系统</w:t>
      </w:r>
      <w:bookmarkEnd w:id="3"/>
      <w:bookmarkEnd w:id="4"/>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自动驾驶汽车之所以能摆脱人类操控，像经验丰富的老司机一样在复杂路况中安全行驶，靠的不仅是雷达、摄像头、激光雷达等负责感知环境的“眼睛”，更核心的是隐藏在车辆内部、负责判断与指令输出的自动驾驶决策系统——它如同汽车的“超级大脑”，是人工智能在复杂动态交通环境中最具挑战性的应用之一，承载着海量数据处理、实时逻辑推理和动态决策的关键使命。</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套“超级大脑”的运行并非杂乱无章，其完整工作流程可清晰概括为“感知-预测-规划”三大核心环节，三者环环相扣、无缝衔接，确保车辆每一次行驶决策都精准、高效、安全，整个过程均在毫秒级完成，远超人类驾驶员的反应速度。</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首先是感知环节，这是决策的基础。AI并非依赖单一传感器获取信息，而是通过传感器融合技术，将摄像头捕捉的视觉图像、激光雷达生成的3D点云数据、毫米波雷达探测的距离与速度信息，以及GPS、惯性导航提供的位置数据进行整合校准，实时构建出车辆周围360度无死角的高精度3D环境模型，清晰识别出道路标线、交通信号灯、行人、非机动车、其他车辆等所有交通参与者，同时精准判断自身与周围物体的相对距离、运动状态。</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感知完成后，便进入关键的预测环节。此时，AI会借助Transformer架构的优势，高效处理车辆自身历史行驶轨迹、周围交通参与者的运动数据，结合实时路况，精准预测出周围行人、车辆、非机动车下一秒甚至数秒内的运动轨迹——比如判断行人是否会横穿马路、相邻车辆是否会变道、非机动车是否会违规行驶等，预测的准确性直接决定了后续决策的安全性，避免因预判失误导致交通事故。</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最后是规划环节，也是决策系统的核心输出阶段。规划模块会基于感知到的环境信息、预测结果，严格遵循交通规则，结合预设的目的地和实时路况，在毫秒级时间内通过博弈论等算法，计算出最优的行驶路径、速度控制指令和操作方案。例如，遇到拥堵时规划最优绕行路线，遇到转弯时调整车速与转向角度，确保行驶平稳。</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一整套流程的背后，是海量数据的高速处理和复杂算法的支撑。尤其在无红绿灯的复杂路口、人车混行等极端场景中，AI需要通过博弈论算法进行快速逻辑推理，权衡加速通过与礼让行人、避让车辆的利弊，做出最安全合理的决策——既要避免因过度谨慎导致交通拥堵，也要杜绝因决策鲁莽引发安全事故。正是这套“超级大脑”的高效运转，让自动驾驶汽车摆脱了人类主观判断的局限，朝着更安全、更高效的智能出行方向稳步前行。</w:t>
      </w:r>
    </w:p>
    <w:p>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5" w:name="_Toc3506"/>
      <w:bookmarkStart w:id="6" w:name="_Toc17601"/>
      <w:r>
        <w:rPr>
          <w:rFonts w:hint="eastAsia" w:ascii="方正仿宋_GB2312" w:hAnsi="方正仿宋_GB2312" w:eastAsia="方正仿宋_GB2312" w:cs="方正仿宋_GB2312"/>
          <w:b/>
          <w:bCs w:val="0"/>
          <w:sz w:val="32"/>
          <w:szCs w:val="32"/>
          <w:lang w:val="en-US" w:eastAsia="zh-CN"/>
        </w:rPr>
        <w:t>懂你的“聊天伙伴”——大语言模型与自然语言处理</w:t>
      </w:r>
      <w:bookmarkEnd w:id="5"/>
      <w:bookmarkEnd w:id="6"/>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如今，我们日常使用的智能聊天机器人、语音助手、文案生成工具，早已摆脱了过去机械的关键词匹配模式，能够听懂我们的言外之意、回应我们的情感需求，甚至与我们进行流畅的多轮对话——这一切的背后，离不开大语言模型与自然语言处理技术的突破，它们共同打造出了真正“懂你”的AI聊天伙伴，推动人工智能实现了从“能听能看”到“能懂会思”的跨越。</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与传统自然语言处理技术不同，当下主流的大语言模型，其核心架构是Transformer，这一架构的出现，彻底打破了传统语言处理的局限，让机器能够真正学习人类语言的本质。我们可以将大语言模型形象地比作一个“超级学霸”，它在训练过程中，阅读了互联网上大规模但经过筛选的文本数据，涵盖书籍、文章、对话、文献等多种形式，这些海量数据为它积累了丰富的语言素材和知识储备。</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大语言模型的核心竞争力，在于其包含的数千亿个参数——这些参数就如同它的“大脑神经元”，通过复杂的网络连接，不断学习人类语言的语法规则、逻辑关系、表达习惯，甚至是隐藏在文字背后的情感色彩。无论是正式严谨的书面语、轻松活泼的口语，还是带有隐喻、调侃的表达，它都能通过参数的不断调整，精准捕捉其中的语义内涵，摆脱了传统关键词匹配“断章取义”的弊端。</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从技术原理来看，大语言模型的工作本质的是“下一个词预测”，这一机制看似简单，却蕴含着复杂的逻辑运算。当我们输入一段文字后，模型会基于上下文信息，通过概率计算，预测出下一个最可能出现的字或词，以此类推，逐步生成连贯、通顺且符合语境的回应。这种预测并非随机猜测，而是基于它所学的海量语言数据和参数模型，确保生成的内容既贴合上下文，又符合人类的语言习惯。</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正是基于这种核心技术，大语言模型具备了极强的语义理解和生成能力，应用场景也愈发广泛。它不仅能与人类进行自然流畅的多轮对话，精准回应疑问、陪伴交流，还能胜任撰写文章、编辑文案、编写代码等复杂任务，甚至可以实现高效的跨语言翻译，打破语言壁垒。无论是日常沟通中的答疑解惑，还是工作中的高效辅助，它都能发挥重要作用，成为我们生活和工作中的得力助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大语言模型的出现，更是人工智能发展史上的一个重要里程碑，它标志着人工智能正式从“感知智能”——即能够通过传感器感知世界、识别信息（如听和看），向“认知智能”——即能够理解信息、进行逻辑思考、表达情感（如理解和思考）迈出了关键一步。它不仅深刻改变了我们获取信息、交流沟通、学习工作的方式，也为自然语言处理技术的未来发展开辟了广阔空间，让AI真正走进生活、读懂人类。</w:t>
      </w:r>
    </w:p>
    <w:p>
      <w:p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79" w:lineRule="exact"/>
        <w:ind w:left="0" w:firstLine="643" w:firstLineChars="200"/>
        <w:textAlignment w:val="auto"/>
        <w:outlineLvl w:val="0"/>
        <w:rPr>
          <w:rFonts w:hint="eastAsia" w:ascii="黑体" w:hAnsi="黑体" w:eastAsia="黑体" w:cs="黑体"/>
          <w:b/>
          <w:bCs w:val="0"/>
          <w:sz w:val="32"/>
          <w:szCs w:val="32"/>
          <w:lang w:val="en-US" w:eastAsia="zh-CN"/>
        </w:rPr>
      </w:pPr>
      <w:bookmarkStart w:id="7" w:name="_Toc25511"/>
      <w:r>
        <w:rPr>
          <w:rFonts w:hint="eastAsia" w:ascii="黑体" w:hAnsi="黑体" w:eastAsia="黑体" w:cs="黑体"/>
          <w:b/>
          <w:bCs w:val="0"/>
          <w:sz w:val="32"/>
          <w:szCs w:val="32"/>
          <w:lang w:val="en-US" w:eastAsia="zh-CN"/>
        </w:rPr>
        <w:t>二、具身智能</w:t>
      </w:r>
      <w:bookmarkEnd w:id="7"/>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8" w:name="_Toc22930"/>
      <w:r>
        <w:rPr>
          <w:rFonts w:hint="eastAsia" w:ascii="方正仿宋_GB2312" w:hAnsi="方正仿宋_GB2312" w:eastAsia="方正仿宋_GB2312" w:cs="方正仿宋_GB2312"/>
          <w:b/>
          <w:bCs w:val="0"/>
          <w:sz w:val="32"/>
          <w:szCs w:val="32"/>
          <w:lang w:val="en-US" w:eastAsia="zh-CN"/>
        </w:rPr>
        <w:t>走进具身智能机器人：不止是“机械臂”，更是智能伙伴</w:t>
      </w:r>
      <w:bookmarkEnd w:id="8"/>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提到机器人，大家可能会想到工厂里重复劳作的机械臂，它们只能按照固定程序完成单一动作，刻板又僵硬。但今天我们要讲的具身智能机器人，早已打破这种局限——它们拥有自主判断、适应环境的能力，就像拥有了“灵魂”，能和人类、环境进行自然的物理交互，而这一切，都源于其独特的工作原理和核心技术支撑。</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首先我们来看它的工作原理。和传统机器人的“被动执行”不同，具身智能机器人依靠“感知—决策—执行”的完整闭环，实现对环境的自主适应，每一个环节都缺一不可。第一步是感知，机器人就像拥有了“五官”，通过视觉、触觉、力觉等多种传感器，实时捕捉外界的各种信息：视觉传感器帮它“看见”周围的物体、地形，触觉和力觉传感器则让它感知接触时的力度、物体的软硬，甚至环境的温度变化，为后续决策提供精准依据。</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感知到信息后，就轮到“大脑”发力——也就是第二步决策。机器人内置的AI芯片会快速处理传感器传来的海量数据，结合预设的安全规则和任务需求，在瞬间做出精准判断：比如遇到障碍物时该绕行还是停下，接触易碎物品时该用多大力度，确保每一个决策都安全、合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最后是执行环节，机器人的执行机构会根据AI芯片的指令，驱动身体完成稳定、安全的物理交互，无论是灵活抓取物品、轻柔触碰物体，还是在复杂地形中平稳移动，都能像人类一样灵活自如，彻底摆脱了传统机器人的僵硬感。</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而让机器人实现这种灵活安全交互的核心支撑，就是柔性电子皮肤。我们都知道，人类的皮肤能感知压力、温度、疼痛，具身智能机器人要想像人一样与世界互动，就必须拥有类似的“皮肤感知能力”。柔性电子皮肤由聚酰亚胺、硅橡胶等柔软材料制成，质地轻薄、可弯曲，能紧密贴在机器人的表面，精准感知压力、形变、温度甚至剪切力，就像给机器人穿上了一层“智能外衣”。</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目前，全球顶尖科研团队在柔性电子皮肤领域已实现多项重要突破：斯坦福大学鲍哲南团队研发出具有自修复能力的多模态感知电子皮肤，即便出现轻微破损也能自主修复，同时可感知多种外界刺激；北京航空航天大学攻克了高灵敏度柔性触觉传感器技术，让机器人能捕捉到极其细微的力度变化；中科院自动化所则将仿生触觉与机器人灵巧手相结合，让机器人的“双手”更具灵活性和感知力。</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具身智能的出现，对机器人领域具有革命性意义。它彻底改变了机器人的定位，让机器人从“机械执行者”，升级为能理解环境、能与人类安全协作、能在交互中自主学习成长的智能伙伴。未来，随着技术的不断成熟，具身智能机器人将走进家庭、医院、工厂等更多场景，帮我们分担家务、辅助医疗、提升生产效率，真正成为融入人类生活的“好帮手”。</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9" w:name="_Toc7414"/>
      <w:bookmarkStart w:id="10" w:name="_Toc32040"/>
      <w:r>
        <w:rPr>
          <w:rFonts w:hint="eastAsia" w:ascii="方正仿宋_GB2312" w:hAnsi="方正仿宋_GB2312" w:eastAsia="方正仿宋_GB2312" w:cs="方正仿宋_GB2312"/>
          <w:b/>
          <w:bCs w:val="0"/>
          <w:sz w:val="32"/>
          <w:szCs w:val="32"/>
          <w:lang w:val="en-US" w:eastAsia="zh-CN"/>
        </w:rPr>
        <w:t>柔性电子——具身智能的“感知神经”</w:t>
      </w:r>
      <w:bookmarkEnd w:id="9"/>
      <w:bookmarkEnd w:id="10"/>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具身智能的核心是让智能体拥有“物理身体”，能像人类一样感知环境、交互行动，而柔性电子就如同这具“身体”的感知神经，打破了传统刚性电子的局限，为具身智能的落地提供了关键支撑，让智能体从“有动作”走向“有感知”。柔性电子以可弯曲、可拉伸、可贴附的特性，从四大维度为具身智能赋能，构建起全方位的感知与交互能力。其中，柔性传感器作为核心部件，可模拟人类皮肤的感知功能，通过压阻、电容等原理捕捉细微压力变化，让机器人拥有媲美人类的精细触觉，它能精准感知物体的硬度、纹理和重量，既能轻柔抓取鸡蛋、水杯等易碎物品而不破损，也能完成电子元件精密装配等高精度操作，彻底改变了传统机器人“硬抓取”的局限，实现更具人性化的操作体验。</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依托柔性电子的灵敏感知能力，智能体可实时检测周围环境中的人体或障碍物，一旦触发安全阈值便自动减速、停止，从根本上解决了刚性机器人与人近距离协作的安全隐患，这种特性让机器人能走进车间、家庭等场景，与人协同作业、提供护理服务，真正实现“人机共生”。同时，柔性电子采用弹性基材与导电材料，可随意弯曲、拉伸甚至折叠，能完美贴附在机器人关节、可穿戴设备表面等复杂曲面，也能适应极端环境，无论是工业机器人的灵活关节、水下设备的曲面外壳，还是极地、高温等恶劣场景，柔性电子都能稳定工作，打破了传统电子设备对场景的限制。除此之外，柔性电子与端侧AI算法深度融合，可实现感知数据的实时采集、分析与反馈，做到低延迟、高稳定、高可靠，它能快速处理触觉、压力、温度等多维度数据，为智能体的决策提供即时支撑，让智能体在复杂环境中也能快速响应、灵活调整。</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如今，柔性电子已让具身智能的感知能力落地到多个领域，走进我们的生产生活。在运动健康领域，柔性传感器可贴附在人体肌肉、关节处，实时监测运动中的姿态与受力情况，精准捕捉肌肉疲劳、关节劳损的前兆，为运动爱好者和运动员提供损伤预防指导；在医疗康复领域，柔性电子让外骨骼机器人、护理机器人更具适配性，其柔软贴合的特性可减少与人体接触的不适感，同时精准感知人体动作意图，辅助患者完成康复训练，为老年人、残疾人提供更安全舒适的护理服务；在水下探索领域，柔性电子赋能水下机器人，使其能仿生感知洋流变化、水流方向与速度，在复杂水下环境中稳定作业，助力海洋探测、水下救援等任务的开展；在工业协作领域，柔性电子让工业机器人实现高精度装配与无损伤抓取，大幅提升生产效率与产品合格率，推动制造业向柔性化、智能化转型。作为具身智能的“感知神经”，柔性电子正不断突破技术边界，让智能体更懂环境、更贴人类，为未来智能生活与产业升级注入新动力。</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11" w:name="_Toc25357"/>
      <w:bookmarkStart w:id="12" w:name="_Toc19154"/>
      <w:r>
        <w:rPr>
          <w:rFonts w:hint="eastAsia" w:ascii="方正仿宋_GB2312" w:hAnsi="方正仿宋_GB2312" w:eastAsia="方正仿宋_GB2312" w:cs="方正仿宋_GB2312"/>
          <w:b/>
          <w:bCs w:val="0"/>
          <w:sz w:val="32"/>
          <w:szCs w:val="32"/>
          <w:lang w:val="en-US" w:eastAsia="zh-CN"/>
        </w:rPr>
        <w:t>具身智能如何改变生活与产业？</w:t>
      </w:r>
      <w:bookmarkEnd w:id="11"/>
      <w:bookmarkEnd w:id="12"/>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当机器人不再是“冰冷的机器”，而是能感知环境、灵活互动、适配场景的“智能体”，具身智能正以润物细无声的方式，重构我们的生活与产业格局。它打破了传统智能“只懂思考、不会行动”的局限，让智能拥有了“身体”，能够走进真实场景，解决实际问题，从工业车间到家庭病房，从运动赛场到极端环境，处处都能看到它的身影。</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工业制造领域，具身智能让机器人实现了从“笼子里的工具”到“身边的搭档”的跨越。传统工业机器人受限于固定程序和刚性结构，只能在封闭的安全笼内完成重复性作业，无法适应小批量、多品类的柔性生产需求。而搭载柔性感知技术的具身智能机器人，拥有了类似人类的“触觉”和“视觉”，能够实时感知周围环境和人体动作，自动避障、精准调整力度，可与工人近距离协同工作。无论是精密零部件的组装，还是个性化产品的加工，它都能灵活适配，大幅提升生产效率与产品合格率，推动制造业从“规模化生产”向“柔性化定制”转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医疗康养领域，具身智能带来了更温柔、更安全的照护体验。对于老人、残疾人以及术后康复人群而言，专业照护的安全性和舒适性至关重要。具身智能赋能的护理机器人、康复外骨骼，通过柔性传感器紧密贴合人体，能够实时感知人体的力度反馈和姿态变化，动作柔和且精准，避免了传统设备的刚性伤害。康复外骨骼可辅助行动不便者重新站立行走，护理机器人能精准完成喂饭、翻身等照护动作，既减轻了护理人员的负担，也让照护过程更具人文温度。</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运动健康领域，具身智能成为守护身体的“隐形卫士”。无论是专业运动员还是普通健身爱好者，运动损伤都是困扰大家的难题。具身智能通过体表柔性传感器，可实时捕捉肌肉负荷、关节形变等细微数据，结合生物力学模型进行分析，提前预警跟腱拉伤、韧带撕裂等高风险损伤。它就像一位专业的运动教练，实时监测运动状态，提醒人们调整运动强度，帮助大家科学健身、规避损伤，让运动更安全、更高效。</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而在人类难以涉足的极端环境中，具身智能成为了我们的“智能感知手”。深海的高压、太空的真空、救援现场的复杂路况，都对设备的感知能力和适应性提出了极高要求。具身智能搭载的柔性传感器，具备耐水、耐压、抗冲击的特性，可广泛应用于水下机器人、太空机械臂、应急救援设备中，在极端环境下完成高精度感知和作业，代替人类探索未知、开展救援，拓展了人类活动的边界。</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从产业升级到生活提质，具身智能的核心价值的是让智能“落地”，让技术“有用”。它不再是实验室里的前沿概念，而是已经走进我们生产生活的实用技术，正在悄然改变着我们的生活方式，推动各个产业实现高质量发展。</w:t>
      </w:r>
    </w:p>
    <w:p>
      <w:pPr>
        <w:rPr>
          <w:rFonts w:hint="eastAsia" w:ascii="黑体" w:hAnsi="黑体" w:eastAsia="黑体" w:cs="黑体"/>
          <w:b/>
          <w:bCs w:val="0"/>
          <w:sz w:val="32"/>
          <w:szCs w:val="32"/>
          <w:lang w:val="en-US" w:eastAsia="zh-CN"/>
        </w:rPr>
      </w:pPr>
      <w:bookmarkStart w:id="13" w:name="_Toc598"/>
      <w:r>
        <w:rPr>
          <w:rFonts w:hint="eastAsia" w:ascii="黑体" w:hAnsi="黑体" w:eastAsia="黑体" w:cs="黑体"/>
          <w:b/>
          <w:bCs w:val="0"/>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79" w:lineRule="exact"/>
        <w:ind w:firstLine="643" w:firstLineChars="200"/>
        <w:textAlignment w:val="auto"/>
        <w:outlineLvl w:val="0"/>
        <w:rPr>
          <w:rFonts w:hint="eastAsia" w:ascii="黑体" w:hAnsi="黑体" w:eastAsia="黑体" w:cs="黑体"/>
          <w:b/>
          <w:bCs w:val="0"/>
          <w:sz w:val="32"/>
          <w:szCs w:val="32"/>
          <w:lang w:val="en-US" w:eastAsia="zh-CN"/>
        </w:rPr>
      </w:pPr>
      <w:bookmarkStart w:id="14" w:name="_Toc8006"/>
      <w:r>
        <w:rPr>
          <w:rFonts w:hint="eastAsia" w:ascii="黑体" w:hAnsi="黑体" w:eastAsia="黑体" w:cs="黑体"/>
          <w:b/>
          <w:bCs w:val="0"/>
          <w:sz w:val="32"/>
          <w:szCs w:val="32"/>
          <w:lang w:val="en-US" w:eastAsia="zh-CN"/>
        </w:rPr>
        <w:t>三、量子科技</w:t>
      </w:r>
      <w:bookmarkEnd w:id="13"/>
      <w:bookmarkEnd w:id="14"/>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15" w:name="_Toc30082"/>
      <w:r>
        <w:rPr>
          <w:rFonts w:hint="eastAsia" w:ascii="方正仿宋_GB2312" w:hAnsi="方正仿宋_GB2312" w:eastAsia="方正仿宋_GB2312" w:cs="方正仿宋_GB2312"/>
          <w:b/>
          <w:bCs w:val="0"/>
          <w:sz w:val="32"/>
          <w:szCs w:val="32"/>
          <w:lang w:val="en-US" w:eastAsia="zh-CN"/>
        </w:rPr>
        <w:t>用“波”读懂量子计算机：从叠加到干涉的底层逻辑</w:t>
      </w:r>
      <w:bookmarkEnd w:id="15"/>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bookmarkStart w:id="16" w:name="_Toc7144"/>
      <w:r>
        <w:rPr>
          <w:rFonts w:hint="eastAsia" w:ascii="方正仿宋_GB2312" w:hAnsi="方正仿宋_GB2312" w:eastAsia="方正仿宋_GB2312" w:cs="方正仿宋_GB2312"/>
          <w:bCs/>
          <w:sz w:val="32"/>
          <w:szCs w:val="32"/>
          <w:lang w:val="en-US" w:eastAsia="zh-CN"/>
        </w:rPr>
        <w:t>提到量子计算机，很多人会觉得它神秘又遥远，仿佛是只存在于科幻电影里的黑科技。其实，我们可以用生活中常见的“波”来理解它的核心原理，不用复杂的公式，就能读懂这门前沿技术的底层逻辑。</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要理解量子计算机，首先要搞懂它的核心优势来源——量子叠加，而用“波的叠加”来类比，是最直观的方式。我们生活中随处可见波的叠加：比如往平静的湖面扔两颗石子，产生的两圈波纹相遇后，会叠加成新的波纹，却不会丢失任何一道原始波纹的信息。量子叠加和这一现象十分相似，只不过叠加的不是水波，而是量子的状态。</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传统计算机的最小信息单位是比特，只能处于“0”或“1”两种固定状态，就像一枚静止的硬币，要么是正面，要么是反面。而量子计算机的最小单位是量子比特（qubit），它能处于“0”和“1”的叠加态，就像多道波叠加在一起，每增加一个量子比特，就相当于多叠加一道波，新增一种可能的状态，且所有叠加的“状态波”都能完整保留自身信息，不会相互损耗。这也是量子计算机能实现并行计算的关键——3个量子比特就能同时处理8种状态，而3个传统比特只能处理1种状态。</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理解了量子叠加，量子计算的原理就很容易明白。量子计算本质上是利用量子的波粒二象性等物理现象，让量子按照自身规律运动，自然产生计算结果，而非像传统计算机那样，通过电流的通断一步步运算。我们可以把量子计算的过程，看作一场精心设计的“波的干涉”实验。</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波的干涉有两种情况：相长干涉和相消干涉——当两道波的波峰相遇，就会相互加强，形成更强的波；当一道波的波峰遇上另一道波的波谷，就会相互抵消，变得微弱甚至消失。量子计算程序的作用，就是精准设计量子的运动轨迹，让对应正确结果的“状态波”发生相长干涉，不断增强；让所有对应错误结果的“状态波”发生相消干涉，逐步抵消。最终，我们测量到的，就是经过干涉后最强的那道“正确波”，也就是我们想要的计算结果。</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而量子计算机，就是实现这一系列过程的“精密仪器”。它并非传统计算机那样的芯片架构，而是通过特殊的物理结构——比如超导电路、离子阱等，来操控量子比特的状态，利用量子叠加、量子干涉等特殊物理原理，筛选出正确的波函数。为了保证量子态的稳定，超导量子计算机甚至需要运行在接近绝对零度的极低温环境中，避免外界干扰破坏波的叠加与干涉。</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简单来说，量子计算机就是一台“操控波的机器”：通过叠加波来实现多状态并行，通过干涉波来筛选正确结果，最终完成传统计算机难以企及的复杂计算。它的神奇之处，本质上是量子世界的波特性，被人类巧妙地运用到了计算领域，也正是这份独特性，让它在密码破译、材料设计等领域拥有无限潜力。</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17" w:name="_Toc5172"/>
      <w:r>
        <w:rPr>
          <w:rFonts w:hint="eastAsia" w:ascii="方正仿宋_GB2312" w:hAnsi="方正仿宋_GB2312" w:eastAsia="方正仿宋_GB2312" w:cs="方正仿宋_GB2312"/>
          <w:b/>
          <w:bCs w:val="0"/>
          <w:sz w:val="32"/>
          <w:szCs w:val="32"/>
          <w:lang w:val="en-US" w:eastAsia="zh-CN"/>
        </w:rPr>
        <w:t>什么是量子通信？</w:t>
      </w:r>
      <w:bookmarkEnd w:id="16"/>
      <w:bookmarkEnd w:id="17"/>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大家好，今天我们来聊聊当下最受关注的前沿技术——量子通信。很多人听到“量子”二字就觉得高深莫测，其实简单来说，量子通信的核心不是传输我们日常使用的文字、图片等大量数据，而是传输一段用来解密信息的“密码本”——也就是密钥，而且这份“密码本”的安全性，是由物理规律从根本上保障的，堪称通信领域的“绝对安全卫士”。</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量子通信的核心载体是单个光量子，也就是光子。它的安全性源于量子力学的两个基本法则，这也是它区别于传统通信的关键所在。第一个法则是不可克隆定理，简单来说，你无法完美复制一个未知的量子态。就像我们无法复制一缕独一无二的阳光，窃听者如果试图复制传输中的光子信号，必然会破坏光子原本的状态，导致信号失真。</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第二个法则是测量即扰动。在量子世界里，“偷看”本身就是一种干扰——只要窃听者试图测量光子的状态，就会不可避免地改变它的原有状态，就像我们用手去碰一杯平静的水，水面一定会泛起涟漪。这两个法则联手，就给量子通信筑起了一道“窃听必被发现”的铜墙铁壁。</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目前最成熟、应用最广泛的量子通信方案，叫做量子密钥分发，简称QKD。它的工作原理并不复杂：通信的收发双方，会通过专门的量子信道交换一串光子。在这个过程中，如果有窃听者中途拦截、试图获取密钥信息，光子的状态就会被打乱。收发双方通过后续的校验，能立刻发现链路被窃听，随后就会丢弃这组被污染的密钥，重新发送，直到确认链路绝对安全，才会用这串安全的密钥去加密实际需要传输的数据。</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里要特别说明的是，量子通信的安全性不依赖数学计算的复杂性，这和我们传统的加密方式有本质区别。传统加密依赖复杂的数学算法，一旦未来超级计算机、量子计算机普及，这些基于数学难题的加密方式就可能被破解。而量子通信的密钥由量子力学规律守护，无论计算机算力如何提升，都无法突破物理法则的限制，实现真正的“无条件安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我国，量子通信的工程应用已经走在了世界前列。2016年发射的“墨子号”量子科学实验卫星，是世界首颗量子卫星，成功实现了星地高速量子密钥分发，让量子通信突破了地面距离的限制，为全球量子通信网络奠定了基础。而“京沪干线”作为我国首条长距离量子通信干线，连接北京、上海等核心城市，已广泛应用于金融、政务等对保密要求极高的场景，守护着核心数据的安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总而言之，量子通信不是科幻概念，而是已经走进现实、守护我们信息安全的前沿技术。它用物理规律为信息传输上锁，破解了传统通信的安全隐患，未来还将在更多领域落地，为我们的数字生活筑牢安全屏障。</w:t>
      </w:r>
    </w:p>
    <w:p>
      <w:pPr>
        <w:rPr>
          <w:rFonts w:hint="eastAsia" w:ascii="黑体" w:hAnsi="黑体" w:eastAsia="黑体" w:cs="黑体"/>
          <w:b/>
          <w:bCs w:val="0"/>
          <w:sz w:val="32"/>
          <w:szCs w:val="32"/>
          <w:lang w:val="en-US" w:eastAsia="zh-CN"/>
        </w:rPr>
      </w:pPr>
      <w:bookmarkStart w:id="18" w:name="_Toc8500"/>
      <w:r>
        <w:rPr>
          <w:rFonts w:hint="eastAsia" w:ascii="黑体" w:hAnsi="黑体" w:eastAsia="黑体" w:cs="黑体"/>
          <w:b/>
          <w:bCs w:val="0"/>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79" w:lineRule="exact"/>
        <w:ind w:firstLine="643" w:firstLineChars="200"/>
        <w:textAlignment w:val="auto"/>
        <w:outlineLvl w:val="0"/>
        <w:rPr>
          <w:rFonts w:hint="eastAsia" w:ascii="黑体" w:hAnsi="黑体" w:eastAsia="黑体" w:cs="黑体"/>
          <w:b/>
          <w:bCs w:val="0"/>
          <w:sz w:val="32"/>
          <w:szCs w:val="32"/>
          <w:lang w:val="en-US" w:eastAsia="zh-CN"/>
        </w:rPr>
      </w:pPr>
      <w:bookmarkStart w:id="19" w:name="_Toc16226"/>
      <w:r>
        <w:rPr>
          <w:rFonts w:hint="eastAsia" w:ascii="黑体" w:hAnsi="黑体" w:eastAsia="黑体" w:cs="黑体"/>
          <w:b/>
          <w:bCs w:val="0"/>
          <w:sz w:val="32"/>
          <w:szCs w:val="32"/>
          <w:lang w:val="en-US" w:eastAsia="zh-CN"/>
        </w:rPr>
        <w:t>四、生物医药与健康</w:t>
      </w:r>
      <w:bookmarkEnd w:id="18"/>
      <w:bookmarkEnd w:id="19"/>
    </w:p>
    <w:p>
      <w:pPr>
        <w:keepNext w:val="0"/>
        <w:keepLines w:val="0"/>
        <w:pageBreakBefore w:val="0"/>
        <w:widowControl w:val="0"/>
        <w:numPr>
          <w:ilvl w:val="0"/>
          <w:numId w:val="4"/>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20" w:name="_Toc32554"/>
      <w:bookmarkStart w:id="21" w:name="_Toc9660"/>
      <w:r>
        <w:rPr>
          <w:rFonts w:hint="eastAsia" w:ascii="方正仿宋_GB2312" w:hAnsi="方正仿宋_GB2312" w:eastAsia="方正仿宋_GB2312" w:cs="方正仿宋_GB2312"/>
          <w:b/>
          <w:bCs w:val="0"/>
          <w:sz w:val="32"/>
          <w:szCs w:val="32"/>
          <w:lang w:val="en-US" w:eastAsia="zh-CN"/>
        </w:rPr>
        <w:t>mRNA疫苗：人体的“自我制药工厂”</w:t>
      </w:r>
      <w:bookmarkEnd w:id="20"/>
      <w:bookmarkEnd w:id="21"/>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疫苗发展史上，曾发生过一场不张扬却影响深远的静默革命——它打破了传统疫苗“注入灭活病毒或减毒活病毒”的固有模式，无需引入完整病原体本身，只需向人体递送一段小小的“信使”，就能让我们的身体自行制造对抗疾病的“武器”，这便是mRNA疫苗的神奇之处。它就像一个无形的指令，让我们身体里的每个细胞，都摇身一变成为一间微型制药工厂，高效、精准地完成抗病毒防御准备。</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mRNA疫苗的工作原理并不复杂，整个过程就像一场精密的“防御演练”，主要分为三个关键步骤。科研人员会将编码病毒刺突蛋白（病毒用来入侵人体细胞的“钥匙”）的mRNA片段，包裹在一层安全的脂质纳米颗粒中。这种纳米颗粒如同保护图纸的“保险箱”，既能避免mRNA被人体免疫系统提前破坏，又能顺利穿透细胞膜，将这份“加密生产图纸”精准送进人体细胞内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当细胞接收到mRNA“图纸”后，体内的核糖体（细胞内的“生产机器”）会立刻读取图纸上的信息，批量合成病毒刺突蛋白片段。这些蛋白片段只是病毒的“零件”，不具备感染能力，相当于在人体内进行了一次“无害演练”，不会让人患病，却能让身体提前熟悉病毒的“长相”。我们的免疫系统就像身体的“保安部队”，当它识别出这些外来的刺突蛋白片段后，会立刻启动防御机制，生成专门针对这种蛋白的抗体，同时培养出能够长期记忆病毒特征的记忆细胞。当真正的病毒来袭时，早已准备就绪的免疫系统能瞬间识别出病毒，快速调动抗体将其中和，记忆细胞还能快速启动免疫反应，阻止感染发生或减轻病情。</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mRNA疫苗之所以能被称为疫苗史的转折点，核心在于它彻底打破了传统疫苗的研发瓶颈，开启了“按需制药”的新时代。传统疫苗研发周期漫长，动辄需要5至10年，往往等疫苗研发成功，疫情可能已逐渐消退，或病原体已发生变异。而mRNA疫苗依托其独特的平台优势，研发周期被压缩到数月——它无需培养大量完整病毒，只需根据病原体的基因序列，修改mRNA的编码序列，就像换一张生产图纸，就能快速瞄准新的病毒变种或新型病原体。</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全球突发公共卫生事件应对中，mRNA疫苗的大规模应用，充分验证了其安全性和有效性，也让这一技术迅速走进大众视野。如今，mRNA技术的应用已不再局限于相关疫苗，针对流感、寨卡病毒、狂犬病等传染病的mRNA疫苗管线正在全面推进，甚至在黑色素瘤等肿瘤的免疫治疗中，mRNA技术也展现出巨大潜力。它的出现，彻底重塑了人类应对突发传染病的速度——未来，当新的传染病突发时，我们有望在100天内研发出对应的mRNA疫苗，为全球防疫争取宝贵时间，也标志着人类在公共卫生防御领域，正式迈入了精准、高效、快速的“按需制药”新时代。</w:t>
      </w:r>
    </w:p>
    <w:p>
      <w:pPr>
        <w:keepNext w:val="0"/>
        <w:keepLines w:val="0"/>
        <w:pageBreakBefore w:val="0"/>
        <w:widowControl w:val="0"/>
        <w:numPr>
          <w:ilvl w:val="0"/>
          <w:numId w:val="4"/>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22" w:name="_Toc31722"/>
      <w:bookmarkStart w:id="23" w:name="_Toc495"/>
      <w:r>
        <w:rPr>
          <w:rFonts w:hint="eastAsia" w:ascii="方正仿宋_GB2312" w:hAnsi="方正仿宋_GB2312" w:eastAsia="方正仿宋_GB2312" w:cs="方正仿宋_GB2312"/>
          <w:b/>
          <w:bCs w:val="0"/>
          <w:sz w:val="32"/>
          <w:szCs w:val="32"/>
          <w:lang w:val="en-US" w:eastAsia="zh-CN"/>
        </w:rPr>
        <w:t>CAR-T疗法：给免疫细胞装一颗“制导芯片”</w:t>
      </w:r>
      <w:bookmarkEnd w:id="22"/>
      <w:bookmarkEnd w:id="23"/>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癌症治疗的探索中，CAR-T疗法无疑是最具突破性的技术之一，它的核心原理通俗又神奇——简单来说，就是把病人自身的免疫T细胞抽出来，为它们装上一颗“制导芯片”，再送回体内，让原本“识别不出癌细胞”的免疫细胞，变成专门追杀癌细胞的“精准武器”，彻底扭转免疫系统“不觉癌”的被动局面，实现对癌细胞的定向清除。</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颗“制导芯片”的安装，也就是CAR-T细胞的制备过程，主要分为三个关键步骤，每一步都承载着精准治疗的核心逻辑。首先是提取“待改造士兵”，医生会从患者的血液中分离出T细胞——这是免疫系统中原本负责识别和清除异常细胞的“主力军”，但在癌症患者体内，这些T细胞往往已经疲惫不堪，失去了识别癌细胞的能力，成为了一批需要改造的“待激活士兵”。</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接下来就是最关键的“烧录芯片”环节。借助基因工程技术，医生会将一种名为“嵌合抗原受体”（CAR）的特殊蛋白，精准“焊接”到T细胞的表面。这种嵌合抗原受体就像一颗专门识别癌细胞的“制导芯片”，能够精准捕捉癌细胞表面特有的抗原标志物，让改造后的T细胞拥有了“火眼金睛”，再也不会把癌细胞当作“自己人”，而是能一眼锁定目标。</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最后一步是“扩增回输”。改造完成的CAR-T细胞，会在体外实验室中进行大量培养和扩增，数量从最初的少量增长到数亿个，形成一支庞大而精锐的“特种部队”。当这支强化后的部队被回输到患者体内后，就会立刻投入战斗，凭借表面的“制导芯片”精准定位癌细胞，逐个锁定并爆破，同时还能在患者体内长期巡逻，持续监测并清除可能残留的癌细胞，形成长期的免疫保护。</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CAR-T疗法最特别的地方，在于它是一种“活的药物”，这也是它区别于传统化疗、靶向药的核心优势。在部分复发难治的B细胞白血病和淋巴瘤患者中，CAR-T疗法取得了令人振奋的疗效，完全缓解率高达80%以上，许多原本已走到生命尽头的患者，凭借这种疗法实现了长期无癌生存。它“一次输注、终身有效”的特性，更是打破了传统药物的局限，成为介于常规药品和器官移植之间的第三种医学形态。</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当然，CAR-T疗法目前仍有需要攻克的难题，比如在实体瘤治疗中效果尚未达到预期，治疗过程中可能出现细胞因子风暴等不良反应，但它的出现，已经彻底证明了人类可以通过编程自身的免疫系统来对抗癌症——从此，治疗癌症的药物不再是冰冷的化学分子，而是有生命、能学习、能精准作战的人体免疫细胞，为人类战胜癌症开辟了一条全新的道路。</w:t>
      </w:r>
    </w:p>
    <w:p>
      <w:pPr>
        <w:keepNext w:val="0"/>
        <w:keepLines w:val="0"/>
        <w:pageBreakBefore w:val="0"/>
        <w:widowControl w:val="0"/>
        <w:numPr>
          <w:ilvl w:val="0"/>
          <w:numId w:val="4"/>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24" w:name="_Toc24886"/>
      <w:bookmarkStart w:id="25" w:name="_Toc10946"/>
      <w:r>
        <w:rPr>
          <w:rFonts w:hint="eastAsia" w:ascii="方正仿宋_GB2312" w:hAnsi="方正仿宋_GB2312" w:eastAsia="方正仿宋_GB2312" w:cs="方正仿宋_GB2312"/>
          <w:b/>
          <w:bCs w:val="0"/>
          <w:sz w:val="32"/>
          <w:szCs w:val="32"/>
          <w:lang w:val="en-US" w:eastAsia="zh-CN"/>
        </w:rPr>
        <w:t>肠道菌群：被低估的“第二大脑”</w:t>
      </w:r>
      <w:bookmarkEnd w:id="24"/>
      <w:bookmarkEnd w:id="25"/>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大家可能都没意识到，我们的肠道里藏着一个庞大的“微生物王国”，这里住着足足100万亿个微生物，总重量差不多有2公斤，它们编码的基因数量更是我们人体自身的150倍。很多人觉得，这些菌群顶多就是帮我们消化食物、吸收营养，其实不然，它们的本事大着呢，悄悄影响着我们的情绪、免疫，甚至能决定我们爱吃甜还是爱吃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可能有人会问，这些看不见摸不着的小东西，怎么能操控我们呢？其实它们有一套“沟通系统”，叫做肠脑轴，肠道菌群可以通过迷走神经，还有短链脂肪酸等代谢物，和我们的大脑进行双向对话。举个大家熟悉的例子，血清素大家都知道，是能让我们感到快乐、缓解焦虑的“快乐激素”，而我们体内90%以上的血清素，都是肠道里的某些菌群制造的，也就是说，你今天心情好不好，说不定肠道菌群在暗中起作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除此之外，肠道还是我们人体最大的免疫器官，而肠道菌群，就是免疫系统的“启蒙老师”。在我们婴儿时期，这些菌群就开始“训练”免疫系统，教它分辨哪些是有害的病菌，哪些是无害的有益菌。要是这段时间训练出了差错，免疫系统就会“认敌为友”或者“敌我不分”，长大后患上过敏、哮喘，还有自身免疫病的风险就会大大增加。</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更有意思的是，肠道菌群还能决定我们的身材走向。不同的菌种，从食物中提取能量的效率不一样，有的菌种提取效率高，多余的能量就会转化成脂肪储存起来；而且它们分泌的物质，还能左右我们的食欲，比如让我们忍不住想吃高糖、高脂的食物。所以很多时候，我们管不住嘴、容易胖，可能不只是自己的意志力问题，肠道菌群的结构也在推波助澜。</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也正因为肠道菌群有这么多神奇的作用，它现在已经成为了医学的新边疆。可能大家听说过粪菌移植，这种方法治疗艰难梭菌感染的治愈率超过90%，比传统的抗生素有效多了。而且越来越多的研究发现，抑郁症、帕金森、自闭症这些疾病，都和肠道菌群有着千丝万缕的联系，现在精神疾病的菌群干预，已经进入了临床试验阶段。就连肿瘤免疫治疗的效果，也被发现和特定菌种的存在有关。</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也让医学理念发生了转变，我们不再是单纯的“杀菌”，而是进入了“养菌时代”。其实我们每个人，都是一个和微生物共生的超级生命体，有时候，修复肠道菌群的生态平衡，比单纯攻击有害菌，效果会更好，这也为很多疾病的治疗，开辟了一条全新的道路。</w:t>
      </w:r>
    </w:p>
    <w:p>
      <w:pPr>
        <w:keepNext w:val="0"/>
        <w:keepLines w:val="0"/>
        <w:pageBreakBefore w:val="0"/>
        <w:widowControl w:val="0"/>
        <w:kinsoku/>
        <w:wordWrap/>
        <w:overflowPunct/>
        <w:topLinePunct w:val="0"/>
        <w:autoSpaceDE/>
        <w:autoSpaceDN/>
        <w:bidi w:val="0"/>
        <w:adjustRightInd/>
        <w:snapToGrid/>
        <w:spacing w:line="579" w:lineRule="exact"/>
        <w:ind w:firstLine="643" w:firstLineChars="200"/>
        <w:textAlignment w:val="auto"/>
        <w:outlineLvl w:val="0"/>
        <w:rPr>
          <w:rFonts w:hint="eastAsia" w:ascii="黑体" w:hAnsi="黑体" w:eastAsia="黑体" w:cs="黑体"/>
          <w:b/>
          <w:bCs w:val="0"/>
          <w:sz w:val="32"/>
          <w:szCs w:val="32"/>
          <w:lang w:val="en-US" w:eastAsia="zh-CN"/>
        </w:rPr>
      </w:pPr>
      <w:bookmarkStart w:id="26" w:name="_Toc92"/>
      <w:r>
        <w:rPr>
          <w:rFonts w:hint="eastAsia" w:ascii="黑体" w:hAnsi="黑体" w:eastAsia="黑体" w:cs="黑体"/>
          <w:b/>
          <w:bCs w:val="0"/>
          <w:sz w:val="32"/>
          <w:szCs w:val="32"/>
          <w:lang w:val="en-US" w:eastAsia="zh-CN"/>
        </w:rPr>
        <w:br w:type="page"/>
      </w:r>
      <w:bookmarkStart w:id="27" w:name="_Toc30323"/>
      <w:r>
        <w:rPr>
          <w:rFonts w:hint="eastAsia" w:ascii="黑体" w:hAnsi="黑体" w:eastAsia="黑体" w:cs="黑体"/>
          <w:b/>
          <w:bCs w:val="0"/>
          <w:sz w:val="32"/>
          <w:szCs w:val="32"/>
          <w:lang w:val="en-US" w:eastAsia="zh-CN"/>
        </w:rPr>
        <w:t>五、航空航天科学</w:t>
      </w:r>
      <w:bookmarkEnd w:id="26"/>
      <w:bookmarkEnd w:id="27"/>
    </w:p>
    <w:p>
      <w:pPr>
        <w:keepNext w:val="0"/>
        <w:keepLines w:val="0"/>
        <w:pageBreakBefore w:val="0"/>
        <w:widowControl w:val="0"/>
        <w:numPr>
          <w:ilvl w:val="0"/>
          <w:numId w:val="5"/>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28" w:name="_Toc20667"/>
      <w:bookmarkStart w:id="29" w:name="_Toc1427"/>
      <w:r>
        <w:rPr>
          <w:rFonts w:hint="eastAsia" w:ascii="方正仿宋_GB2312" w:hAnsi="方正仿宋_GB2312" w:eastAsia="方正仿宋_GB2312" w:cs="方正仿宋_GB2312"/>
          <w:b/>
          <w:bCs w:val="0"/>
          <w:sz w:val="32"/>
          <w:szCs w:val="32"/>
          <w:lang w:val="en-US" w:eastAsia="zh-CN"/>
        </w:rPr>
        <w:t>天宫空间站：太空中的天宫家园</w:t>
      </w:r>
      <w:bookmarkEnd w:id="28"/>
      <w:bookmarkEnd w:id="29"/>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天宫空间站，是我国自主建造、独立运营的近地轨道载人空间站，如今已实现三舱组合体长期在轨驻留，它的建成，让中国拥有了专属的太空科研基地，更标志着我国载人航天事业迈入全新发展阶段，开启了中国航天探索宇宙的新篇章。</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要让这个“太空家园”长期稳定在轨运行，背后离不开三大核心技术支撑。天宫采用先进的积木式构型设计，通过在轨模块化组装实现完整布局，先发射天和核心舱作为整个空间站的“中枢”，再分步发射问天实验舱、梦天实验舱，通过在轨精准对接，最终组装成完整的T字空间站结构，既兼顾了建造的灵活性，又保障了整体运行的稳定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浩瀚太空里，轨道会自然衰减，飞行姿态也可能出现偏差，而轨道姿态调控系统就是空间站的“导航员”。它依靠推进系统、动量轮与精准控制系统，实时监测空间站的飞行状态，持续修正轨道衰减，随时调整飞行姿态，确保空间站始终保持稳定飞行，为航天员驻留和科研活动提供安全保障。与此同时，闭环生命保障系统更是航天员的“太空生命线”，它配备先进的再生生保系统，可实现氧气、水资源的循环再生，无需持续从地球补给，既能降低航天任务成本，也能为航天员营造安全舒适的太空生活环境，支撑航天员长期在轨驻留开展工作。</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天宫空间站的建成，不仅是中国航天的里程碑，更有着深远的时代意义。它的核心架构、动力系统、测控通信等关键技术全部实现国产化，彻底摆脱了外部技术依赖，为我国航天自主发展筑牢了根基，彰显了中国航天的硬实力。作为高端科研平台，天宫依托太空中微重力、高真空的特殊环境，为科学家们提供了地球实验室无法模拟的研究条件，可开展空间生命、材料科学、天文观测等多项前沿科学实验，助力人类探索宇宙的未知奥秘。</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更值得一提的是，天宫空间站还是一个开放包容的国际合作窗口，它面向全球开放实验项目，接纳多国科研载荷，为世界各国联合探索太空、和平利用宇宙空间提供了重要平台。天宫空间站的建成与稳定运行，是中国航天跨越式发展的重要见证，更是人类迈向深空、开展空间科学探索的重要载体，它正带着中国航天梦，不断拓宽人类认知宇宙的边界，书写着和平探索宇宙的中国篇章。</w:t>
      </w:r>
    </w:p>
    <w:p>
      <w:pPr>
        <w:keepNext w:val="0"/>
        <w:keepLines w:val="0"/>
        <w:pageBreakBefore w:val="0"/>
        <w:widowControl w:val="0"/>
        <w:numPr>
          <w:ilvl w:val="0"/>
          <w:numId w:val="5"/>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30" w:name="_Toc17752"/>
      <w:bookmarkStart w:id="31" w:name="_Toc29575"/>
      <w:r>
        <w:rPr>
          <w:rFonts w:hint="eastAsia" w:ascii="方正仿宋_GB2312" w:hAnsi="方正仿宋_GB2312" w:eastAsia="方正仿宋_GB2312" w:cs="方正仿宋_GB2312"/>
          <w:b/>
          <w:bCs w:val="0"/>
          <w:sz w:val="32"/>
          <w:szCs w:val="32"/>
          <w:lang w:val="en-US" w:eastAsia="zh-CN"/>
        </w:rPr>
        <w:t>天问一号：探秘红色火星之旅</w:t>
      </w:r>
      <w:bookmarkEnd w:id="30"/>
      <w:bookmarkEnd w:id="31"/>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2021年，我国天问一号探测器顺利抵达火星，圆满完成环绕、着陆、巡视三大任务，一次性实现火星探测多重目标，开启了中国自主探索火星的全新征程。这场跨越亿万公里的红色星球探秘之旅，不仅凝聚着中国航天人的智慧与汗水，更承载着人类探索宇宙未知的共同梦想，背后藏着值得我们深入了解的科学意义。</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很多人会好奇，我们为何要跨越遥远距离，执着于探索这颗红色星球？其实，火星是太阳系中与地球环境最为相近的类地行星，它的表面留存着清晰的远古河床、极地冰盖等地质遗迹，如同一个封存着宇宙密码的“时光胶囊”，完整记录着太阳系早期的演化信息。对火星环境变迁和地质历史的研究，就像是为地球未来“照镜子”，能为我们探究地球生态的未来变化提供重要参考，帮助人类更科学地应对环境挑战，守护我们赖以生存的家园。</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天问一号的火星探秘之旅，更有着不可替代的科学价值。通过探测器搭载的先进科学仪器，科学家们得以系统探测火星的地表地貌、岩石土壤成分，深入分析火星内部结构，对比地球与火星在形成和演化中的差异，一步步还原行星演化的完整历程，为破解火星起源、太阳系演化的诸多谜题提供线索。同时，探测器还重点探测火星的大气组成、地下水资源以及有机物质痕迹，探寻这颗星球远古时期是否具备孕育生命的条件，为人类寻找地外生命打开了新的思路。</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除此之外，天问一号的探测任务还为我国深空探测事业积累了宝贵经验，全程验证了星际转移、超远距离通信、地外天体软着陆等关键核心技术，为后续更深层次的深空探测乃至载人探火工程筑牢了基础。它传回的各类探测数据，涵盖火星地质、大气、磁场等多个领域，成为科学家开展研究的宝贵资料，推动人类行星探测事业迈向新高度。这场探秘之旅，不仅让中国航天迈出了深空探测的重要一步，也为人类共同探索宇宙奥秘贡献了中国力量。</w:t>
      </w:r>
    </w:p>
    <w:p>
      <w:pPr>
        <w:keepNext w:val="0"/>
        <w:keepLines w:val="0"/>
        <w:pageBreakBefore w:val="0"/>
        <w:widowControl w:val="0"/>
        <w:numPr>
          <w:ilvl w:val="0"/>
          <w:numId w:val="5"/>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32" w:name="_Toc10436"/>
      <w:bookmarkStart w:id="33" w:name="_Toc16861"/>
      <w:r>
        <w:rPr>
          <w:rFonts w:hint="eastAsia" w:ascii="方正仿宋_GB2312" w:hAnsi="方正仿宋_GB2312" w:eastAsia="方正仿宋_GB2312" w:cs="方正仿宋_GB2312"/>
          <w:b/>
          <w:bCs w:val="0"/>
          <w:sz w:val="32"/>
          <w:szCs w:val="32"/>
          <w:lang w:val="en-US" w:eastAsia="zh-CN"/>
        </w:rPr>
        <w:t>高空无人机：临近空间飞行利器</w:t>
      </w:r>
      <w:bookmarkEnd w:id="32"/>
      <w:bookmarkEnd w:id="33"/>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高空长航时无人机，是航空航天跨界融合的新型飞行器，可长时间停留在临近空间高空区域，执行侦察监测、气象探测、通信中继等多样化任务，凭借独特的性能优势，成为现代空天领域不可或缺的重要装备，为人类探索和利用临近空间开辟了全新路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很多人会疑惑，高空长航时无人机究竟凭借什么，能实现长时间在高空稳定飞行？其实，这背后离不开多项核心技术的支撑。它采用特殊气动外形设计与轻质复合材料，既有效降低了飞行阻力，又大幅减轻了自身重量，这使得它能够连续滞空数十小时，轻松完成大范围、长时间的巡航任务。同时，无人机搭载了先进的自主导航与智能控制系统，无需人工实时操控，就能自主规划飞行航线、灵活躲避复杂气流，实现全天候、高精度的智能飞行。此外，它还具备多任务载荷适配能力，可根据不同需求，搭载光学摄像、雷达探测、气象采集等多种设备，真正实现一机多用，适配多个领域的作业需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作为空天领域的重要突破，高空长航时无人机的价值体现在多个方面，有着不可替代的重要意义。它的应用场景十分广泛，涵盖民生、国防、科研等多个领域，既能用于国土巡查、森林防火、海洋监测等民生保障工作，也能助力气象科研、环境监测等科研事业发展，为各项工作的开展提供高效支撑。与卫星和载人航空器相比，它还具备部署灵活、使用成本低的优势，能够快速响应各类应急任务，在突发情况处置中发挥重要作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更为关键的是，它成功填补了我国临近空间长期驻留、持续观测的能力短板，进一步完善了我国空天一体化探测与服务体系。如今，高空长航时无人机的快速发展，不断拓展着人类对临近空间的开发与利用能力，为空天信息获取、环境监测和安全保障，提供了全新的技术支撑与应用途径，也为我国空天事业的高质量发展注入了新的活力。</w:t>
      </w:r>
    </w:p>
    <w:p>
      <w:pPr>
        <w:rPr>
          <w:rFonts w:hint="eastAsia" w:ascii="黑体" w:hAnsi="黑体" w:eastAsia="黑体" w:cs="黑体"/>
          <w:b/>
          <w:bCs w:val="0"/>
          <w:sz w:val="32"/>
          <w:szCs w:val="32"/>
          <w:lang w:val="en-US" w:eastAsia="zh-CN"/>
        </w:rPr>
      </w:pPr>
      <w:bookmarkStart w:id="34" w:name="_Toc9064"/>
      <w:r>
        <w:rPr>
          <w:rFonts w:hint="eastAsia" w:ascii="黑体" w:hAnsi="黑体" w:eastAsia="黑体" w:cs="黑体"/>
          <w:b/>
          <w:bCs w:val="0"/>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79" w:lineRule="exact"/>
        <w:ind w:firstLine="643" w:firstLineChars="200"/>
        <w:textAlignment w:val="auto"/>
        <w:outlineLvl w:val="0"/>
        <w:rPr>
          <w:rFonts w:hint="eastAsia" w:ascii="黑体" w:hAnsi="黑体" w:eastAsia="黑体" w:cs="黑体"/>
          <w:b/>
          <w:bCs w:val="0"/>
          <w:sz w:val="32"/>
          <w:szCs w:val="32"/>
          <w:lang w:val="en-US" w:eastAsia="zh-CN"/>
        </w:rPr>
      </w:pPr>
      <w:bookmarkStart w:id="35" w:name="_Toc4022"/>
      <w:r>
        <w:rPr>
          <w:rFonts w:hint="eastAsia" w:ascii="黑体" w:hAnsi="黑体" w:eastAsia="黑体" w:cs="黑体"/>
          <w:b/>
          <w:bCs w:val="0"/>
          <w:sz w:val="32"/>
          <w:szCs w:val="32"/>
          <w:lang w:val="en-US" w:eastAsia="zh-CN"/>
        </w:rPr>
        <w:t>六、海洋科学</w:t>
      </w:r>
      <w:bookmarkEnd w:id="35"/>
    </w:p>
    <w:p>
      <w:pPr>
        <w:keepNext w:val="0"/>
        <w:keepLines w:val="0"/>
        <w:pageBreakBefore w:val="0"/>
        <w:widowControl w:val="0"/>
        <w:numPr>
          <w:ilvl w:val="0"/>
          <w:numId w:val="6"/>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default" w:ascii="方正仿宋_GB2312" w:hAnsi="方正仿宋_GB2312" w:eastAsia="方正仿宋_GB2312" w:cs="方正仿宋_GB2312"/>
          <w:b/>
          <w:bCs w:val="0"/>
          <w:sz w:val="32"/>
          <w:szCs w:val="32"/>
          <w:lang w:val="en-US" w:eastAsia="zh-CN"/>
        </w:rPr>
      </w:pPr>
      <w:bookmarkStart w:id="36" w:name="_Toc14155"/>
      <w:r>
        <w:rPr>
          <w:rFonts w:hint="eastAsia" w:ascii="方正仿宋_GB2312" w:hAnsi="方正仿宋_GB2312" w:eastAsia="方正仿宋_GB2312" w:cs="方正仿宋_GB2312"/>
          <w:b/>
          <w:bCs w:val="0"/>
          <w:sz w:val="32"/>
          <w:szCs w:val="32"/>
          <w:lang w:val="en-US" w:eastAsia="zh-CN"/>
        </w:rPr>
        <w:t>声呐技术在海洋中的应用</w:t>
      </w:r>
      <w:bookmarkEnd w:id="36"/>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现代海洋探索中，人类始终面临着一个难以突破的困境：海洋就像一层厚重的“面纱”，遮挡了我们窥探深海的视线。光在水中的衰减速度极快，哪怕是最先进的水下摄像机，在深海环境中也只能看清几米范围内的事物，对于平均深度超过3700米的海洋而言，这样的视野无疑是杯水车薪。那么，人类究竟是凭借什么突破这一局限，看清几千米甚至上万米下的海底世界，解锁深海的神秘面纱呢？答案其实很简单，就是我们今天要了解的核心技术——声呐（SONAR）技术，它就像深海里的“千里眼”，为人类探索海洋开辟了一条全新的道路。</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声呐技术的核心原理，其实和我们熟悉的回声现象一脉相承，也就是“回声定位”。声呐的英文缩写SONAR，全称是“声音导航与测距”，顾名思义，它就是利用声音在水中的传播特性，完成水下探测、导航和测距的任务。与光和雷达不同，声波在水中的传播距离极远，传播速度也相对稳定，大约为每秒1500米，这一特性让它成为深海探测的最佳选择。声呐系统主要由发射机、换能器、接收机等部分组成，工作时，发射机会通过换能器向水中发射一束声波脉冲，这束脉冲会在水中快速传播，当遇到海底地形、沉船、海洋生物等障碍物时，就会被反射回来，形成回声。</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接收机捕捉到回声后，会将其转换为电信号并进行处理，系统通过精确计算声波发射与接收的时间差，再结合声波在水中的传播速度，就能精准算出目标的距离。随着技术的不断升级，多波束声呐技术的出现，让深海探测变得更加精准高效。与传统单波束声呐一次只能发射一束声波不同，多波束声呐会同时发射多束扇形排列的声波，能够全方位覆盖探测区域，不仅能快速测量海底深度，还能捕捉到目标的形状、轮廓甚至细节特征，进而绘制出高精度的海底3D地形地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项强大的技术，早已在海洋探索中发挥着不可替代的作用。它帮助科学家成功定位了沉睡在大西洋底的泰坦尼克号残骸，清晰呈现出沉船的破损细节，为历史研究提供了珍贵的实物依据；也助力科研人员绘制出马里亚纳海沟的精确地形，捕捉到海沟深处的地貌特征，让人类第一次真正看清了这一地球最深处的模样。除此之外，声呐技术还广泛应用于海底地质考察、海洋资源勘探、水下导航等多个领域，无论是寻找海底矿产资源，还是排查水下航行隐患，都离不开它的帮助。正是有了声呐技术，人类才能逐步揭开海洋的神秘面纱，在探索深海的道路上不断前行，解锁更多海洋深处的奥秘。</w:t>
      </w:r>
    </w:p>
    <w:p>
      <w:pPr>
        <w:keepNext w:val="0"/>
        <w:keepLines w:val="0"/>
        <w:pageBreakBefore w:val="0"/>
        <w:widowControl w:val="0"/>
        <w:numPr>
          <w:ilvl w:val="0"/>
          <w:numId w:val="6"/>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37" w:name="_Toc6688"/>
      <w:r>
        <w:rPr>
          <w:rFonts w:hint="eastAsia" w:ascii="方正仿宋_GB2312" w:hAnsi="方正仿宋_GB2312" w:eastAsia="方正仿宋_GB2312" w:cs="方正仿宋_GB2312"/>
          <w:b/>
          <w:bCs w:val="0"/>
          <w:sz w:val="32"/>
          <w:szCs w:val="32"/>
          <w:lang w:val="en-US" w:eastAsia="zh-CN"/>
        </w:rPr>
        <w:t>深海热液区与生命的起源</w:t>
      </w:r>
      <w:bookmarkEnd w:id="37"/>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几千米深的深海海域，是一片被黑暗、高压包裹的极端环境——这里没有丝毫阳光，常年水温接近冰点，水压更是达到海平面的数百倍，如此恶劣的条件，在人类最初的认知里，无疑是生命的绝对禁区，没有任何生命能够在此存活繁衍。但科学家们的深海探测，却打破了这一固有认知，在这片幽暗的海底，发现了一片令人惊叹的生命绿洲，它就是深海热液区，因喷涌出的黑色热液形似烟囱，也被通俗地称为“黑烟囱”。</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片生命绿洲之所以能在极端环境中存在，核心奥秘就在于一种特殊的生命代谢方式——化能合成作用。我们都知道，地球表面的生态系统中，植物是最基础的生产者，它们依靠光合作用，利用阳光、二氧化碳和水制造有机物，为整个生态系统提供能量。但在没有阳光的深海热液区，这样的光合作用无法实现，支撑起整个生态系统的，是一类耐高温、耐高压的特殊微生物——化能合成细菌。</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些神奇的细菌，不需要阳光作为能量来源，它们能利用深海热液中富含的硫化氢、甲烷等化学物质，将这些无机物中的化学能释放出来，再将空气中的二氧化碳转化为有机物，完成能量的转化与储存。正是这些看似微小的化能合成细菌，构成了深海热液区生态系统的基石，它们如同“生产者”一般，为整个生态链提供了源源不断的能量，养活了多种多样的深海生物。</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这片特殊的生态环境中，孕育出了许多独特的生物，比如体长可达三米、通体鲜红的管状蠕虫，它们没有嘴巴和消化系统，依靠体内共生的化能合成细菌获取营养；还有体型庞大的深海蛤蜊、耐热的虾类等，它们共同构成了一个完整且独特的深海生态系统。这一发现，彻底颠覆了人类对生命极限的认知，让我们明白，生命的生存并非必须依赖阳光和氧气，只要有可利用的化学能，以及适宜的生存条件，生命就能在极端环境中繁衍生息、生生不息。</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更令人振奋的是，这一发现还为地球生命的起源提供了新的思路和方向。有科学家推测，在地球形成初期，地表环境极端恶劣，火山活动频繁，海洋中也没有氧气，与如今的深海热液区环境十分相似。或许，地球上最初的生命，就是在这样的环境中诞生，依靠化能合成作用逐步演化，最终发展出如今丰富多彩的生命世界。深海热液区不仅是深海中的生命奇迹，更成为人类探索生命起源、破解生命奥秘的重要窗口，持续为我们揭开地球生命演化的神秘面纱。</w:t>
      </w:r>
    </w:p>
    <w:p>
      <w:pPr>
        <w:keepNext w:val="0"/>
        <w:keepLines w:val="0"/>
        <w:pageBreakBefore w:val="0"/>
        <w:widowControl w:val="0"/>
        <w:numPr>
          <w:ilvl w:val="0"/>
          <w:numId w:val="6"/>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38" w:name="_Toc32277"/>
      <w:r>
        <w:rPr>
          <w:rFonts w:hint="eastAsia" w:ascii="方正仿宋_GB2312" w:hAnsi="方正仿宋_GB2312" w:eastAsia="方正仿宋_GB2312" w:cs="方正仿宋_GB2312"/>
          <w:b/>
          <w:bCs w:val="0"/>
          <w:sz w:val="32"/>
          <w:szCs w:val="32"/>
          <w:lang w:val="en-US" w:eastAsia="zh-CN"/>
        </w:rPr>
        <w:t>砗磲与珊瑚礁的共生</w:t>
      </w:r>
      <w:bookmarkEnd w:id="38"/>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热带海洋的珊瑚礁海域，海水澄澈透亮，五彩斑斓的珊瑚伸展着枝叶，各类海洋生物在此穿梭嬉戏，构成了生机盎然的海底乐园。在这片热闹的天地中，有一种巨大的“贝壳”静静地卧在海底，它就是被称为海洋“建筑师”的砗磲（chē qú）。作为海洋中体型最大的双壳类软体动物，砗磲的壳长可达1.8米以上，体重能超过200公斤，而它之所以能在珊瑚礁生态系统中占据重要地位，核心就在于其独特的共生智慧，与珊瑚礁、微生物共同编织出互利共赢的生存网络。</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砗磲的共生秘密，藏在它柔软的外套膜边缘。在这片看似普通的组织上，生活着数以亿计的微小藻类——虫黄藻。这些虫黄藻与砗磲形成了紧密的共生关系，就像一对形影不离的伙伴，彼此依存、相互滋养。砗磲为虫黄藻提供了安全的栖息场所，避免它们被其他海洋生物捕食，同时，砗磲呼吸产生的二氧化碳，以及代谢排出的氮、磷等营养物质，恰好是虫黄藻进行光合作用所必需的原料，为藻类的生长提供了充足保障。</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而虫黄藻则用光合作用作为回报，将阳光、二氧化碳转化为糖类、蛋白质等有机物，这些营养物质会直接输送给砗磲，满足其庞大身体的能量需求。这种高效的共生模式，如同一个小型“太阳能农场”，让砗磲在营养贫瘠的热带珊瑚礁海域，无需主动觅食，就能获得充足的能量，得以慢慢生长为海洋中的“巨无霸”。更巧妙的是，虫黄藻的存在还会为砗磲的外壳染上绚丽的色彩，让这只巨大的“贝壳”在珊瑚礁中显得格外醒目。</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砗磲与珊瑚礁的共生，不仅滋养了自身，更守护了整个珊瑚礁生态系统。砗磲的外壳坚硬厚实，如同一块块巨大的砖石，随着生长不断堆积，填充在珊瑚礁的缝隙之间，有效加固了礁盘结构，防止珊瑚礁因海浪冲击而坍塌。同时，它庞大的身体和外壳缝隙，还为小丑鱼、虾类、小型鱼类等无数海洋生物提供了躲避天敌、繁殖栖息的庇护所，成为珊瑚礁生物群落的“天然藏身之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种共生关系，是海洋生物长期演化形成的智慧结晶。砗磲依靠虫黄藻获得能量，得以茁壮成长；虫黄藻借助砗磲获得生存保障，得以繁衍不息；而砗磲的存在，又稳固了珊瑚礁，为更多生物提供了生存家园。三者相互依存、缺一不可，共同维持着珊瑚礁生态系统的平衡与生机，也让我们看到了海洋生命之间最奇妙、最和谐的共生之美，更懂得了保护每一种海洋生物，就是保护整个海洋生态的重要意义。</w:t>
      </w:r>
    </w:p>
    <w:p>
      <w:pPr>
        <w:keepNext w:val="0"/>
        <w:keepLines w:val="0"/>
        <w:pageBreakBefore w:val="0"/>
        <w:widowControl w:val="0"/>
        <w:kinsoku/>
        <w:wordWrap/>
        <w:overflowPunct/>
        <w:topLinePunct w:val="0"/>
        <w:autoSpaceDE/>
        <w:autoSpaceDN/>
        <w:bidi w:val="0"/>
        <w:adjustRightInd/>
        <w:snapToGrid/>
        <w:spacing w:line="579" w:lineRule="exact"/>
        <w:ind w:firstLine="643" w:firstLineChars="200"/>
        <w:textAlignment w:val="auto"/>
        <w:outlineLvl w:val="0"/>
        <w:rPr>
          <w:rFonts w:hint="eastAsia" w:ascii="黑体" w:hAnsi="黑体" w:eastAsia="黑体" w:cs="黑体"/>
          <w:b/>
          <w:bCs w:val="0"/>
          <w:sz w:val="32"/>
          <w:szCs w:val="32"/>
          <w:lang w:val="en-US" w:eastAsia="zh-CN"/>
        </w:rPr>
      </w:pPr>
      <w:bookmarkStart w:id="39" w:name="_Toc8526"/>
      <w:r>
        <w:rPr>
          <w:rFonts w:hint="eastAsia" w:ascii="黑体" w:hAnsi="黑体" w:eastAsia="黑体" w:cs="黑体"/>
          <w:b/>
          <w:bCs w:val="0"/>
          <w:sz w:val="32"/>
          <w:szCs w:val="32"/>
          <w:lang w:val="en-US" w:eastAsia="zh-CN"/>
        </w:rPr>
        <w:t>七、新材料</w:t>
      </w:r>
      <w:bookmarkEnd w:id="34"/>
      <w:bookmarkEnd w:id="39"/>
    </w:p>
    <w:p>
      <w:pPr>
        <w:keepNext w:val="0"/>
        <w:keepLines w:val="0"/>
        <w:pageBreakBefore w:val="0"/>
        <w:widowControl w:val="0"/>
        <w:numPr>
          <w:ilvl w:val="0"/>
          <w:numId w:val="7"/>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40" w:name="_Toc19122"/>
      <w:bookmarkStart w:id="41" w:name="_Toc11528"/>
      <w:r>
        <w:rPr>
          <w:rFonts w:hint="eastAsia" w:ascii="方正仿宋_GB2312" w:hAnsi="方正仿宋_GB2312" w:eastAsia="方正仿宋_GB2312" w:cs="方正仿宋_GB2312"/>
          <w:b/>
          <w:bCs w:val="0"/>
          <w:sz w:val="32"/>
          <w:szCs w:val="32"/>
          <w:lang w:val="en-US" w:eastAsia="zh-CN"/>
        </w:rPr>
        <w:t>能“记住形状”的智能金属——记忆合金的奥秘</w:t>
      </w:r>
      <w:bookmarkEnd w:id="40"/>
      <w:bookmarkEnd w:id="41"/>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我们的固有认知中，金属往往是坚硬且易断的，一旦被扭曲、弯折，就很难恢复到最初的形态。但有一种特殊的智能金属，却打破了这种刻板印象，它能像拥有“记忆”一样，记住自己最初设定的形状，即便在低温下被揉成一团、扭曲变形，只要加热到特定温度，就能瞬间恢复原貌，它就是记忆合金。这种神奇的材料，凭借独特的特性，早已渗透到我们生活的方方面面，成为现代科技中不可或缺的重要角色。</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记忆合金是一类兼具形状记忆效应与超弹性的特殊金属材料，其种类十分丰富，其中最常用、最具代表性的是镍钛系形状记忆合金，除此之外，还有铜镍系、铜铝系、铜锌系合金，以及铁系合金等多个类别，不同种类的记忆合金，适配不同的应用场景，共同支撑起各类科技产品的研发与应用。它的“记忆”能力，核心源于自身特殊的晶体结构——在低温环境下，其晶体结构会发生转变，允许其被随意扭曲、拉伸，而当加热到临界温度时，晶体结构会恢复到原始状态，带动金属外形同步复位，精准还原最初的设定形态。</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除了神奇的形状记忆能力，记忆合金还拥有两大关键特性，让它在众多材料中脱颖而出。一是伪弹性，也叫超弹性，它能承受远超普通金属的巨大形变，即便被拉伸、弯曲到极致，只要外力消失，就能自动回弹到原始形状，而且在变形过程中，它的应力应变曲线并非线性，会产生耗散能，这一特性让它具备了良好的抗冲击、抗疲劳能力。二是优异的生物相容性，经过专业表面处理后，记忆合金无毒、无排异反应，能够很好地适配人体环境，这也为它在医疗领域的应用奠定了基础。</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如今，记忆合金的应用场景早已覆盖医疗、航空航天、智能装备等多个重要领域，深刻改变着我们的生活与科技发展。在医疗领域，它是守护健康的“隐形卫士”，心脏支架、脊椎矫正棒、牙齿矫正丝等医疗器件，利用人体体温作为“触发信号”，进入人体后自动恢复到预设形状，实现微创治疗，减少患者痛苦；在航空航天领域，卫星天线、管道接头等部件，可折叠后装入运载火箭，进入太空轨道后，通过加热触发形状恢复，顺利展开工作，大幅节省发射空间；在智能装备领域，温控开关、机器人柔性关节、智能假肢等产品，借助记忆合金的特性，实现精准的温度控制与灵活的动作反馈，让装备更智能、更人性化。</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记忆合金的出现，不仅打破了人们对金属的传统认知，更搭建起智能控制与物理动作之间的桥梁，它将温度变化转化为可控制的机械运动，让材料拥有了“智能响应”的能力。这种神奇的材料，推动微创医疗向更安全、更精准的方向发展，助力航空航天工程实现轻量化、高效化突破，也为智能装备的创新升级提供了新可能，成为现代科技发展中不可或缺的核心材料，持续书写着智能金属的奇妙篇章。</w:t>
      </w:r>
    </w:p>
    <w:p>
      <w:pPr>
        <w:keepNext w:val="0"/>
        <w:keepLines w:val="0"/>
        <w:pageBreakBefore w:val="0"/>
        <w:widowControl w:val="0"/>
        <w:numPr>
          <w:ilvl w:val="0"/>
          <w:numId w:val="7"/>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42" w:name="_Toc15714"/>
      <w:bookmarkStart w:id="43" w:name="_Toc16795"/>
      <w:r>
        <w:rPr>
          <w:rFonts w:hint="eastAsia" w:ascii="方正仿宋_GB2312" w:hAnsi="方正仿宋_GB2312" w:eastAsia="方正仿宋_GB2312" w:cs="方正仿宋_GB2312"/>
          <w:b/>
          <w:bCs w:val="0"/>
          <w:sz w:val="32"/>
          <w:szCs w:val="32"/>
          <w:lang w:val="en-US" w:eastAsia="zh-CN"/>
        </w:rPr>
        <w:t>芯片与量子科技的基石——半导体新材料</w:t>
      </w:r>
      <w:bookmarkEnd w:id="42"/>
      <w:bookmarkEnd w:id="43"/>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现代科技飞速发展的今天，从我们手中的手机、电脑，到太空遨游的卫星、火箭，再到前沿的量子通信、量子器件，背后都离不开一种核心材料的支撑，它就是半导体新材料。这种被称为“工业粮食”的特殊材料，看似平凡，却承载着芯片与量子科技发展的重任，是整个科技产业链的基石，更是推动科技进步的核心力量，其独特的特性，让它在众多材料中脱颖而出，成为现代科技不可或缺的存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简单来说，半导体就是室温下导电性能介于导体与绝缘体之间的特殊材料，既不像导体那样容易导电，也不像绝缘体那样完全不导电，而这种“居中”的导电特性，正是它的神奇之处。更重要的是，半导体的导电性能并非固定不变，通过“掺杂”技术，向纯净的本征半导体中加入微量杂质，就能灵活改变其导电能力——杂质的浓度、极性不同，半导体的导电特性就会发生显著变化，这也为半导体器件的研发提供了核心基础。常见的半导体材料有硅、锗、砷化镓等，按化学成分划分，可分为元素半导体、化合物半导体和固溶半导体三大类，适配不同的科技应用需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半导体新材料之所以能成为科技基石，离不开它的三大关键特性。其一，灵活的导电特性，它的导电性可通过温度变化、掺杂调控、光照照射、磁场作用等多种方式大幅改变，这是制造各类半导体器件的核心前提；其二，优异的光电、磁电特性，它具备磁阻特性和特殊的光学跃迁特性，能够实现光电、磁电之间的相互转换，为光电设备、磁电器件的研发提供了可能；其三，突出的力热特性，它拥有显著的压阻效应、热电效应和热传导特性，依托帕尔帖效应还能实现制冷，进一步拓展了其应用范围。</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如今，半导体新材料的应用场景早已渗透到科技生活的方方面面，深刻改变着我们的生活与产业发展。在算力领域，它是各类设备的“心脏”，支撑着手机、电脑、服务器的正常运行，更是量子器件的核心支撑，为量子科技的突破提供了基础；在能源领域，第三代半导体凭借耐高温、高效节能的优势，广泛应用于新能源汽车、光伏发电、快充设备等领域，助力能源变革与绿色发展；在智能感知领域，它被用于制造光电、压力、温度等各类传感器，赋能智能家电、智能穿戴等设备，让我们的生活更加便捷智能。</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半导体新材料的重要性，早已超越了普通材料的范畴，小到手表、耳机，大到卫星、火箭、量子通信设备，几乎所有高科技产品都离不开它。突破高端半导体材料技术，不仅能推动芯片、量子科技等领域的自主创新，更能保障我国科技产业链的安全稳定，是实现科技自主可控的核心战略方向。作为芯片与量子科技的基石，半导体新材料正持续发力，推动人类科技向更智能、更高效、更前沿的方向迈进，书写着科技发展的新篇章。</w:t>
      </w:r>
    </w:p>
    <w:p>
      <w:pPr>
        <w:keepNext w:val="0"/>
        <w:keepLines w:val="0"/>
        <w:pageBreakBefore w:val="0"/>
        <w:widowControl w:val="0"/>
        <w:numPr>
          <w:ilvl w:val="0"/>
          <w:numId w:val="7"/>
        </w:numPr>
        <w:kinsoku/>
        <w:wordWrap/>
        <w:overflowPunct/>
        <w:topLinePunct w:val="0"/>
        <w:autoSpaceDE/>
        <w:autoSpaceDN/>
        <w:bidi w:val="0"/>
        <w:adjustRightInd/>
        <w:snapToGrid/>
        <w:spacing w:line="579" w:lineRule="exact"/>
        <w:ind w:left="0" w:leftChars="0" w:firstLine="643" w:firstLineChars="200"/>
        <w:jc w:val="both"/>
        <w:textAlignment w:val="auto"/>
        <w:outlineLvl w:val="1"/>
        <w:rPr>
          <w:rFonts w:hint="eastAsia" w:ascii="方正仿宋_GB2312" w:hAnsi="方正仿宋_GB2312" w:eastAsia="方正仿宋_GB2312" w:cs="方正仿宋_GB2312"/>
          <w:b/>
          <w:bCs w:val="0"/>
          <w:sz w:val="32"/>
          <w:szCs w:val="32"/>
          <w:lang w:val="en-US" w:eastAsia="zh-CN"/>
        </w:rPr>
      </w:pPr>
      <w:bookmarkStart w:id="44" w:name="_Toc24855"/>
      <w:bookmarkStart w:id="45" w:name="_Toc21711"/>
      <w:r>
        <w:rPr>
          <w:rFonts w:hint="eastAsia" w:ascii="方正仿宋_GB2312" w:hAnsi="方正仿宋_GB2312" w:eastAsia="方正仿宋_GB2312" w:cs="方正仿宋_GB2312"/>
          <w:b/>
          <w:bCs w:val="0"/>
          <w:sz w:val="32"/>
          <w:szCs w:val="32"/>
          <w:lang w:val="en-US" w:eastAsia="zh-CN"/>
        </w:rPr>
        <w:t>航天级“超级纤维”——T1200 级超高强度碳纤维的力量密码</w:t>
      </w:r>
      <w:bookmarkEnd w:id="44"/>
      <w:bookmarkEnd w:id="45"/>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在航天航空、高端制造领域，有一种被誉为“黑色黄金”的特殊材料，它纤细如丝，却能承载起千钧之力，它就是T1200级超高强度碳纤维。作为目前全球最高强度级别的碳纤维，这种高性能纤维材料，凭借超乎想象的物理特性，成为航空航天、高端装备领域不可或缺的“顶级结构材料”，它的出现，不仅改写了高端结构材料的应用格局，更藏着我国高端制造突破国外垄断的力量密码。</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T1200级超高强度碳纤维，之所以能被称为航天级“超级纤维”，核心在于它集多种顶尖特性于一身，完美平衡了“轻”与“强”的极致需求。它的密度仅为钢材的四分之一，用它制造的装备能实现大幅减重，有效降低能耗；而强度却达到钢材的10倍以上，具备超强的抗冲击、抗疲劳能力，即便在极端环境下也能保持结构稳定。除此之外，它还拥有超稳的特性，耐腐蚀、耐高低温，热变形极小，能适应航天航空领域的严苛环境；同时刚性极强，不易弯曲变形，可精准满足高端装备对结构精度的严格要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这些卓越的特性，让T1200级超高强度碳纤维的应用场景覆盖了航天航空、高端装备、交通医疗等多个关键领域，成为推动产业升级的核心材料。在航天航空领域，它被广泛用于火箭箭体、卫星结构件，以及飞机机身与机翼的制造，仅装备减重就能达到10%以上，大幅提升装备的载荷能力与续航里程，为航天任务的成功实施提供了坚实保障；在高端装备领域，赛车、游艇、高端机器人、深海探测器等产品，借助它的轻量化与高强度优势，实现了性能的跨越式提升；在交通与医疗领域，高铁关键部件、智能假肢、医用影像设备结构件等，也因它的应用变得更轻便、更耐用、更安全。</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更值得骄傲的是，这种航天级“超级纤维”并非依赖进口，我国已实现自主研发，并成功突破百吨级量产，打破了国外在该领域的技术垄断。这一突破意义重大，让我国成为国际上少数掌握T1200级超高强度碳纤维技术并实现规模化生产的国家，标志着我国在超高强度碳纤维领域正式进入国际领先水平。</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方正仿宋_GB2312" w:hAnsi="方正仿宋_GB2312" w:eastAsia="方正仿宋_GB2312" w:cs="方正仿宋_GB2312"/>
          <w:bCs/>
          <w:sz w:val="32"/>
          <w:szCs w:val="32"/>
          <w:lang w:val="en-US" w:eastAsia="zh-CN"/>
        </w:rPr>
      </w:pPr>
      <w:r>
        <w:rPr>
          <w:rFonts w:hint="eastAsia" w:ascii="方正仿宋_GB2312" w:hAnsi="方正仿宋_GB2312" w:eastAsia="方正仿宋_GB2312" w:cs="方正仿宋_GB2312"/>
          <w:bCs/>
          <w:sz w:val="32"/>
          <w:szCs w:val="32"/>
          <w:lang w:val="en-US" w:eastAsia="zh-CN"/>
        </w:rPr>
        <w:t>作为高端制造与航天工程不可或缺的核心材料，T1200级超高强度碳纤维的国产化突破，不仅让我国的大国重器变得更轻、更强、更安全，更为我国航天航空、高端装备产业的自主发展注入了强劲动力。这种纤细却坚韧的“超级纤维”，承载着我国高端制造的梦想，藏着突破创新的力量，正助力我国在高端制造与航天工程领域稳步前行，书写着属于中国的科技传奇。</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DA79B"/>
    <w:multiLevelType w:val="singleLevel"/>
    <w:tmpl w:val="CFDDA79B"/>
    <w:lvl w:ilvl="0" w:tentative="0">
      <w:start w:val="1"/>
      <w:numFmt w:val="chineseCounting"/>
      <w:suff w:val="nothing"/>
      <w:lvlText w:val="（%1）"/>
      <w:lvlJc w:val="left"/>
      <w:pPr>
        <w:ind w:left="0" w:firstLine="420"/>
      </w:pPr>
      <w:rPr>
        <w:rFonts w:hint="eastAsia"/>
      </w:rPr>
    </w:lvl>
  </w:abstractNum>
  <w:abstractNum w:abstractNumId="1">
    <w:nsid w:val="F2E24804"/>
    <w:multiLevelType w:val="singleLevel"/>
    <w:tmpl w:val="F2E24804"/>
    <w:lvl w:ilvl="0" w:tentative="0">
      <w:start w:val="1"/>
      <w:numFmt w:val="chineseCounting"/>
      <w:suff w:val="nothing"/>
      <w:lvlText w:val="（%1）"/>
      <w:lvlJc w:val="left"/>
      <w:pPr>
        <w:ind w:left="0" w:firstLine="420"/>
      </w:pPr>
      <w:rPr>
        <w:rFonts w:hint="eastAsia"/>
      </w:rPr>
    </w:lvl>
  </w:abstractNum>
  <w:abstractNum w:abstractNumId="2">
    <w:nsid w:val="FA8502B7"/>
    <w:multiLevelType w:val="singleLevel"/>
    <w:tmpl w:val="FA8502B7"/>
    <w:lvl w:ilvl="0" w:tentative="0">
      <w:start w:val="1"/>
      <w:numFmt w:val="chineseCounting"/>
      <w:suff w:val="nothing"/>
      <w:lvlText w:val="（%1）"/>
      <w:lvlJc w:val="left"/>
      <w:pPr>
        <w:ind w:left="0" w:firstLine="420"/>
      </w:pPr>
      <w:rPr>
        <w:rFonts w:hint="eastAsia"/>
      </w:rPr>
    </w:lvl>
  </w:abstractNum>
  <w:abstractNum w:abstractNumId="3">
    <w:nsid w:val="1A49062E"/>
    <w:multiLevelType w:val="singleLevel"/>
    <w:tmpl w:val="1A49062E"/>
    <w:lvl w:ilvl="0" w:tentative="0">
      <w:start w:val="1"/>
      <w:numFmt w:val="chineseCounting"/>
      <w:suff w:val="nothing"/>
      <w:lvlText w:val="（%1）"/>
      <w:lvlJc w:val="left"/>
      <w:pPr>
        <w:ind w:left="0" w:firstLine="420"/>
      </w:pPr>
      <w:rPr>
        <w:rFonts w:hint="eastAsia"/>
      </w:rPr>
    </w:lvl>
  </w:abstractNum>
  <w:abstractNum w:abstractNumId="4">
    <w:nsid w:val="4EBC9774"/>
    <w:multiLevelType w:val="singleLevel"/>
    <w:tmpl w:val="4EBC9774"/>
    <w:lvl w:ilvl="0" w:tentative="0">
      <w:start w:val="1"/>
      <w:numFmt w:val="chineseCounting"/>
      <w:suff w:val="nothing"/>
      <w:lvlText w:val="（%1）"/>
      <w:lvlJc w:val="left"/>
      <w:pPr>
        <w:ind w:left="0" w:firstLine="420"/>
      </w:pPr>
      <w:rPr>
        <w:rFonts w:hint="eastAsia"/>
      </w:rPr>
    </w:lvl>
  </w:abstractNum>
  <w:abstractNum w:abstractNumId="5">
    <w:nsid w:val="5854D49E"/>
    <w:multiLevelType w:val="singleLevel"/>
    <w:tmpl w:val="5854D49E"/>
    <w:lvl w:ilvl="0" w:tentative="0">
      <w:start w:val="1"/>
      <w:numFmt w:val="chineseCounting"/>
      <w:suff w:val="nothing"/>
      <w:lvlText w:val="（%1）"/>
      <w:lvlJc w:val="left"/>
      <w:pPr>
        <w:ind w:left="0" w:firstLine="420"/>
      </w:pPr>
      <w:rPr>
        <w:rFonts w:hint="eastAsia"/>
      </w:rPr>
    </w:lvl>
  </w:abstractNum>
  <w:abstractNum w:abstractNumId="6">
    <w:nsid w:val="64F57640"/>
    <w:multiLevelType w:val="singleLevel"/>
    <w:tmpl w:val="64F57640"/>
    <w:lvl w:ilvl="0" w:tentative="0">
      <w:start w:val="1"/>
      <w:numFmt w:val="chineseCounting"/>
      <w:suff w:val="nothing"/>
      <w:lvlText w:val="（%1）"/>
      <w:lvlJc w:val="left"/>
      <w:pPr>
        <w:ind w:left="0" w:firstLine="420"/>
      </w:pPr>
      <w:rPr>
        <w:rFonts w:hint="eastAsia"/>
      </w:rPr>
    </w:lvl>
  </w:abstractNum>
  <w:num w:numId="1">
    <w:abstractNumId w:val="3"/>
  </w:num>
  <w:num w:numId="2">
    <w:abstractNumId w:val="1"/>
  </w:num>
  <w:num w:numId="3">
    <w:abstractNumId w:val="4"/>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B049B"/>
    <w:rsid w:val="07347160"/>
    <w:rsid w:val="1697741D"/>
    <w:rsid w:val="1ADC5EAE"/>
    <w:rsid w:val="1F1B1CA1"/>
    <w:rsid w:val="24E567F1"/>
    <w:rsid w:val="29E87A6C"/>
    <w:rsid w:val="2BBA1A67"/>
    <w:rsid w:val="2C202DF2"/>
    <w:rsid w:val="2D406CBA"/>
    <w:rsid w:val="328175E9"/>
    <w:rsid w:val="32A83B53"/>
    <w:rsid w:val="383C7BC8"/>
    <w:rsid w:val="39D11788"/>
    <w:rsid w:val="39D80E75"/>
    <w:rsid w:val="3D1141CF"/>
    <w:rsid w:val="4AFE2097"/>
    <w:rsid w:val="4BA17322"/>
    <w:rsid w:val="4F080305"/>
    <w:rsid w:val="54A540EC"/>
    <w:rsid w:val="5809477E"/>
    <w:rsid w:val="6EB76C30"/>
    <w:rsid w:val="71F72C8D"/>
    <w:rsid w:val="78B747F5"/>
    <w:rsid w:val="7B6C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Strong"/>
    <w:basedOn w:val="10"/>
    <w:qFormat/>
    <w:uiPriority w:val="0"/>
    <w:rPr>
      <w:b/>
    </w:rPr>
  </w:style>
  <w:style w:type="paragraph" w:customStyle="1" w:styleId="12">
    <w:name w:val="正文一级标题"/>
    <w:qFormat/>
    <w:uiPriority w:val="1"/>
    <w:pPr>
      <w:spacing w:line="560" w:lineRule="exact"/>
      <w:ind w:left="0" w:right="0" w:firstLine="720"/>
      <w:jc w:val="both"/>
    </w:pPr>
    <w:rPr>
      <w:rFonts w:ascii="黑体" w:eastAsia="黑体" w:hAnsiTheme="minorHAnsi" w:cstheme="minorBidi"/>
      <w:b/>
      <w:sz w:val="36"/>
      <w:szCs w:val="22"/>
    </w:rPr>
  </w:style>
  <w:style w:type="paragraph" w:customStyle="1" w:styleId="13">
    <w:name w:val="正文 文本"/>
    <w:qFormat/>
    <w:uiPriority w:val="1"/>
    <w:pPr>
      <w:spacing w:line="560" w:lineRule="exact"/>
      <w:ind w:left="0" w:right="0" w:firstLine="640"/>
      <w:jc w:val="both"/>
    </w:pPr>
    <w:rPr>
      <w:rFonts w:ascii="宋体" w:eastAsia="宋体" w:hAnsiTheme="minorHAnsi" w:cstheme="minorBidi"/>
      <w:sz w:val="32"/>
      <w:szCs w:val="22"/>
    </w:rPr>
  </w:style>
  <w:style w:type="paragraph" w:customStyle="1" w:styleId="14">
    <w:name w:val="WPSOffice手动目录 1"/>
    <w:uiPriority w:val="0"/>
    <w:pPr>
      <w:ind w:leftChars="0"/>
    </w:pPr>
    <w:rPr>
      <w:sz w:val="20"/>
      <w:szCs w:val="20"/>
    </w:rPr>
  </w:style>
  <w:style w:type="paragraph" w:customStyle="1" w:styleId="1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20274</Words>
  <Characters>20499</Characters>
  <Lines>0</Lines>
  <Paragraphs>0</Paragraphs>
  <TotalTime>5</TotalTime>
  <ScaleCrop>false</ScaleCrop>
  <LinksUpToDate>false</LinksUpToDate>
  <CharactersWithSpaces>20610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2026-05-05T12:17:00Z</dcterms:created>
  <dc:creator>wanghh</dc:creator>
  <cp:lastModifiedBy>caijiawei</cp:lastModifiedBy>
  <dcterms:modified xsi:type="dcterms:W3CDTF">2026-05-09T11:15:49Z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KSOTemplateDocerSaveRecord">
    <vt:lpwstr>eyJoZGlkIjoiMjA1MjE4OTFlMWE2ZTA0OGUzMmExYjJlMmI4OTAzYmMiLCJ1c2VySWQiOiI2NDMxNjUyNTAifQ==</vt:lpwstr>
  </property>
  <property fmtid="{D5CDD505-2E9C-101B-9397-08002B2CF9AE}" pid="4" name="ICV">
    <vt:lpwstr>7FA9669D31784E019CEC90CCBFF7ADA2</vt:lpwstr>
  </property>
</Properties>
</file>