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73</w:t>
      </w:r>
      <w:r>
        <w:rPr>
          <w:rFonts w:hint="eastAsia" w:ascii="宋体" w:hAnsi="宋体"/>
          <w:color w:val="000000"/>
          <w:sz w:val="32"/>
          <w:szCs w:val="32"/>
          <w:lang w:eastAsia="zh-CN"/>
        </w:rPr>
        <w:t>号</w:t>
      </w:r>
      <w:bookmarkEnd w:id="0"/>
    </w:p>
    <w:p w14:paraId="274F2E2E">
      <w:pPr>
        <w:spacing w:line="340" w:lineRule="exact"/>
        <w:jc w:val="center"/>
      </w:pPr>
    </w:p>
    <w:p w14:paraId="75B3EBA5">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关于组织申报2026年全国教育科学规划年度项目申报工作的通知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依据全国教育科学规划领导小组办公室文件《全国教育科学规划领导小组办公室文件》，学校组织开展相关项目的申报工作，请有意申报该项目的教师按文件要求进行申报。</w:t>
      </w:r>
    </w:p>
    <w:p w14:paraId="41135385">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0" w:firstLineChars="200"/>
        <w:jc w:val="both"/>
        <w:textAlignment w:val="auto"/>
        <w:rPr>
          <w:rFonts w:hint="eastAsia" w:ascii="仿宋" w:hAnsi="仿宋" w:eastAsia="仿宋"/>
          <w:b/>
          <w:bCs/>
          <w:sz w:val="32"/>
          <w:szCs w:val="32"/>
          <w:highlight w:val="none"/>
          <w:lang w:val="en-US"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6月16日</w:t>
      </w:r>
      <w:r>
        <w:rPr>
          <w:rFonts w:hint="eastAsia" w:ascii="仿宋" w:hAnsi="仿宋" w:eastAsia="仿宋"/>
          <w:sz w:val="32"/>
          <w:szCs w:val="32"/>
          <w:highlight w:val="none"/>
          <w:lang w:val="en-US" w:eastAsia="zh-CN"/>
        </w:rPr>
        <w:t>前，通过珠海科技学院科研服务平台（https://kypt.zcst.edu.cn/）在线提交申请书（附件2）。提交步骤如下：登录系统 → 校级项目申报 → 按流程完成填报。</w:t>
      </w:r>
      <w:r>
        <w:rPr>
          <w:rFonts w:hint="eastAsia" w:ascii="仿宋" w:hAnsi="仿宋" w:eastAsia="仿宋"/>
          <w:b/>
          <w:bCs/>
          <w:sz w:val="32"/>
          <w:szCs w:val="32"/>
          <w:highlight w:val="none"/>
          <w:lang w:val="en-US" w:eastAsia="zh-CN"/>
        </w:rPr>
        <w:t>请申请人合理规划申报时间，预留学院审核周期，避免因审批流程延误错过申报截止时间。</w:t>
      </w:r>
    </w:p>
    <w:p w14:paraId="72B1E91D">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highlight w:val="none"/>
          <w:lang w:val="en-US" w:eastAsia="zh-CN"/>
        </w:rPr>
      </w:pPr>
      <w:r>
        <w:rPr>
          <w:rFonts w:hint="eastAsia" w:ascii="仿宋" w:hAnsi="仿宋" w:eastAsia="仿宋"/>
          <w:sz w:val="32"/>
          <w:szCs w:val="32"/>
          <w:highlight w:val="none"/>
          <w:lang w:val="en-US" w:eastAsia="zh-CN"/>
        </w:rPr>
        <w:t>科研处统一组织专家进行审议，学校择优推荐3项报送（不包含研究专项）。审核通过的申报材料于</w:t>
      </w:r>
      <w:r>
        <w:rPr>
          <w:rFonts w:hint="eastAsia" w:ascii="仿宋" w:hAnsi="仿宋" w:eastAsia="仿宋"/>
          <w:b/>
          <w:bCs/>
          <w:sz w:val="32"/>
          <w:szCs w:val="32"/>
          <w:highlight w:val="none"/>
          <w:lang w:val="en-US" w:eastAsia="zh-CN"/>
        </w:rPr>
        <w:t>6月19日</w:t>
      </w:r>
      <w:r>
        <w:rPr>
          <w:rFonts w:hint="eastAsia" w:ascii="仿宋" w:hAnsi="仿宋" w:eastAsia="仿宋"/>
          <w:sz w:val="32"/>
          <w:szCs w:val="32"/>
          <w:highlight w:val="none"/>
          <w:lang w:val="en-US" w:eastAsia="zh-CN"/>
        </w:rPr>
        <w:t>上传至“全国教育科学规划管理平台:</w:t>
      </w:r>
      <w:r>
        <w:rPr>
          <w:rFonts w:hint="eastAsia" w:ascii="仿宋" w:hAnsi="仿宋" w:eastAsia="仿宋"/>
          <w:b w:val="0"/>
          <w:bCs w:val="0"/>
          <w:sz w:val="32"/>
          <w:szCs w:val="32"/>
          <w:highlight w:val="none"/>
          <w:lang w:val="en-US" w:eastAsia="zh-CN"/>
        </w:rPr>
        <w:t>(</w:t>
      </w:r>
      <w:r>
        <w:rPr>
          <w:rFonts w:hint="eastAsia" w:ascii="仿宋" w:hAnsi="仿宋" w:eastAsia="仿宋"/>
          <w:sz w:val="32"/>
          <w:szCs w:val="32"/>
          <w:highlight w:val="none"/>
          <w:lang w:val="en-US" w:eastAsia="zh-CN"/>
        </w:rPr>
        <w:fldChar w:fldCharType="begin"/>
      </w:r>
      <w:r>
        <w:rPr>
          <w:rFonts w:hint="eastAsia" w:ascii="仿宋" w:hAnsi="仿宋" w:eastAsia="仿宋"/>
          <w:sz w:val="32"/>
          <w:szCs w:val="32"/>
          <w:highlight w:val="none"/>
          <w:lang w:val="en-US" w:eastAsia="zh-CN"/>
        </w:rPr>
        <w:instrText xml:space="preserve"> HYPERLINK "https://202.205.185.2271" </w:instrText>
      </w:r>
      <w:r>
        <w:rPr>
          <w:rFonts w:hint="eastAsia" w:ascii="仿宋" w:hAnsi="仿宋" w:eastAsia="仿宋"/>
          <w:sz w:val="32"/>
          <w:szCs w:val="32"/>
          <w:highlight w:val="none"/>
          <w:lang w:val="en-US" w:eastAsia="zh-CN"/>
        </w:rPr>
        <w:fldChar w:fldCharType="separate"/>
      </w:r>
      <w:r>
        <w:rPr>
          <w:rFonts w:hint="eastAsia" w:ascii="仿宋" w:hAnsi="仿宋" w:eastAsia="仿宋"/>
          <w:sz w:val="32"/>
          <w:szCs w:val="32"/>
          <w:highlight w:val="none"/>
          <w:lang w:val="en-US" w:eastAsia="zh-CN"/>
        </w:rPr>
        <w:t>https://202.205.185.2271</w:t>
      </w:r>
      <w:r>
        <w:rPr>
          <w:rFonts w:hint="eastAsia" w:ascii="仿宋" w:hAnsi="仿宋" w:eastAsia="仿宋"/>
          <w:sz w:val="32"/>
          <w:szCs w:val="32"/>
          <w:highlight w:val="none"/>
          <w:lang w:val="en-US" w:eastAsia="zh-CN"/>
        </w:rPr>
        <w:fldChar w:fldCharType="end"/>
      </w:r>
      <w:r>
        <w:rPr>
          <w:rFonts w:hint="eastAsia" w:ascii="仿宋" w:hAnsi="仿宋" w:eastAsia="仿宋"/>
          <w:b w:val="0"/>
          <w:bCs w:val="0"/>
          <w:sz w:val="32"/>
          <w:szCs w:val="32"/>
          <w:highlight w:val="none"/>
          <w:lang w:val="en-US" w:eastAsia="zh-CN"/>
        </w:rPr>
        <w:t>)。</w:t>
      </w:r>
    </w:p>
    <w:p w14:paraId="77C22E09">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申请人要求</w:t>
      </w:r>
    </w:p>
    <w:p w14:paraId="1F0F3D31">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1.国家重点项目和一般项目：具有副高级以上（含）专业技术职称（职务）或具有博士学位。申请人可根据自身研究基础、前期成果、项目论证质量、预期研究成果体量等，选择申报重点项目或一般项目。</w:t>
      </w:r>
    </w:p>
    <w:p w14:paraId="4B25C946">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2.国家青年项目、教育部重点项目、教育部青年项目：不作专业技术职称（职务）或博士学位要求。 </w:t>
      </w:r>
    </w:p>
    <w:p w14:paraId="66DB1EB9">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3.青年项目：男性申请人年龄不超过35周岁（1991年6月25日后出生），女性申请人年龄不超过40周岁（1986年6月25日后出生）。</w:t>
      </w:r>
    </w:p>
    <w:p w14:paraId="1B78F8DF">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4.专项项目共有“学科建设与研究生培养研究专项”“学生发展研究专项”“中国教育法治与全球教育治理研 究专项”“教育考试研究专项”“终身教育体系研究专项”5个专项，5个专项实行不限额申报，具体详见申报公告及指南(附件4)。</w:t>
      </w:r>
    </w:p>
    <w:p w14:paraId="332EC145">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5.各项目组列入研究成员须确为必要，并明确征得本人同意、签字确认，否则视为违规申报。申请人可根据实际研究需要，吸收境外研究人员作为项目组成员。申请人及课题组成员均须承诺保证以足够的时间和精力承担或参与项目研究。</w:t>
      </w:r>
    </w:p>
    <w:p w14:paraId="6181D249">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highlight w:val="none"/>
          <w:lang w:val="en-US" w:eastAsia="zh-CN"/>
        </w:rPr>
      </w:pPr>
      <w:r>
        <w:rPr>
          <w:rFonts w:hint="eastAsia" w:ascii="仿宋" w:hAnsi="仿宋" w:eastAsia="仿宋"/>
          <w:b/>
          <w:bCs/>
          <w:sz w:val="32"/>
          <w:szCs w:val="32"/>
          <w:highlight w:val="none"/>
          <w:lang w:val="en-US" w:eastAsia="zh-CN"/>
        </w:rPr>
        <w:t>二、资助额度及限额申报数量</w:t>
      </w:r>
    </w:p>
    <w:p w14:paraId="7582ACDF">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国家社会科学基金教育学重点项目35万元，一般项目、青年项目均为20万元。教育部重点项目、青年项目均为8万元。申请人应按照《全国教育科学规划课题管理办法》和《国家社会科学基金项目资金管理办法》（详见网站https://onsgep.moe.edu.cn/）的要求，根据实际需要编制科学合理的经费预算。</w:t>
      </w:r>
    </w:p>
    <w:p w14:paraId="697B8037">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2.专项项目请详见申报公告及指南。</w:t>
      </w:r>
    </w:p>
    <w:p w14:paraId="6AAD2BC9">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highlight w:val="none"/>
          <w:lang w:val="en-US" w:eastAsia="zh-CN"/>
        </w:rPr>
      </w:pPr>
      <w:r>
        <w:rPr>
          <w:rFonts w:hint="eastAsia" w:ascii="仿宋" w:hAnsi="仿宋" w:eastAsia="仿宋"/>
          <w:b/>
          <w:bCs/>
          <w:sz w:val="32"/>
          <w:szCs w:val="32"/>
          <w:highlight w:val="none"/>
          <w:lang w:val="en-US" w:eastAsia="zh-CN"/>
        </w:rPr>
        <w:t>三、项目研究周期</w:t>
      </w:r>
    </w:p>
    <w:p w14:paraId="253E4B21">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1.全国教育科学规划年度项目的完成时限最长不超过5年，基础理论研究一般为3-5年，应用对策研究一般为2-3年。</w:t>
      </w:r>
    </w:p>
    <w:p w14:paraId="759FB4C3">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2.专项项目请详见申报公告及指南。</w:t>
      </w:r>
    </w:p>
    <w:p w14:paraId="20187F32">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highlight w:val="none"/>
          <w:lang w:val="en-US" w:eastAsia="zh-CN"/>
        </w:rPr>
      </w:pPr>
      <w:r>
        <w:rPr>
          <w:rFonts w:hint="eastAsia" w:ascii="仿宋" w:hAnsi="仿宋" w:eastAsia="仿宋"/>
          <w:b/>
          <w:bCs/>
          <w:sz w:val="32"/>
          <w:szCs w:val="32"/>
          <w:highlight w:val="none"/>
          <w:lang w:val="en-US" w:eastAsia="zh-CN"/>
        </w:rPr>
        <w:t>四、资格审查要求</w:t>
      </w:r>
    </w:p>
    <w:p w14:paraId="2E9B5475">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为避免一题多报、交叉申请和重复立项，确保申请人有足够的时间和精力从事项目研究，2026年全国教育科学规划项目年度申报作如下限定：</w:t>
      </w:r>
    </w:p>
    <w:p w14:paraId="1414DF25">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2026年国家社会科学基金教育学重大项目。</w:t>
      </w:r>
    </w:p>
    <w:p w14:paraId="39BF5DDA">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2.在研全国教育科学规划项目负责人，不得申报新的全国教育科学规划年度项目（结项证书标注日期应在2026年6月25日之前）。</w:t>
      </w:r>
    </w:p>
    <w:p w14:paraId="69FA2F17">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10BE298A">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4.不得通过变换责任单位回避前述条款规定，不得将内容基本相同或相近的申报材料以不同申请人的名义申报。</w:t>
      </w:r>
    </w:p>
    <w:p w14:paraId="37597123">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5.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4603A2A9">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6.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3F31F374">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7.不得使用与已发表、出版的内容基本相同的研究成果申报全国教育科学规划年度项目。</w:t>
      </w:r>
    </w:p>
    <w:p w14:paraId="3A7AD0DA">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8.申请人须承诺立项后切实担负成果管理责任。立项后凡以全国教育科学规划项目名义发表、出版阶段性成果或最终成果，不得同时标注多个项目资助字样。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579EADBE">
      <w:pPr>
        <w:spacing w:line="360" w:lineRule="auto"/>
        <w:rPr>
          <w:rFonts w:hint="eastAsia" w:ascii="仿宋" w:hAnsi="仿宋" w:eastAsia="仿宋"/>
          <w:b/>
          <w:bCs/>
          <w:sz w:val="32"/>
          <w:szCs w:val="32"/>
        </w:rPr>
      </w:pPr>
      <w:r>
        <w:rPr>
          <w:rFonts w:hint="eastAsia" w:ascii="仿宋" w:hAnsi="仿宋" w:eastAsia="仿宋"/>
          <w:b/>
          <w:bCs/>
          <w:sz w:val="32"/>
          <w:szCs w:val="32"/>
        </w:rPr>
        <w:t>五、活页要求</w:t>
      </w:r>
    </w:p>
    <w:p w14:paraId="0BE3E5D4">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本年度项目实行同行专家集中网络评审，专家对《全国教育科学规划项目论证活页》（含《选题说明》，以下简称《活页》）进行匿名评审。《活页》论证字数不超过7000字（含图表内容，其中《选题说明》不超过300字），并承诺具有相关领域研究基础，不得出现任何可能透露申请人身份的信息。</w:t>
      </w:r>
    </w:p>
    <w:p w14:paraId="57EF8F57">
      <w:pPr>
        <w:numPr>
          <w:ilvl w:val="0"/>
          <w:numId w:val="0"/>
        </w:numPr>
        <w:spacing w:line="360" w:lineRule="auto"/>
        <w:rPr>
          <w:rFonts w:hint="eastAsia" w:ascii="仿宋" w:hAnsi="仿宋" w:eastAsia="仿宋"/>
          <w:b/>
          <w:bCs/>
          <w:sz w:val="32"/>
          <w:szCs w:val="32"/>
        </w:rPr>
      </w:pPr>
      <w:r>
        <w:rPr>
          <w:rFonts w:hint="eastAsia" w:ascii="仿宋" w:hAnsi="仿宋" w:eastAsia="仿宋"/>
          <w:b/>
          <w:bCs/>
          <w:sz w:val="32"/>
          <w:szCs w:val="32"/>
          <w:lang w:val="en-US" w:eastAsia="zh-CN"/>
        </w:rPr>
        <w:t>六、</w:t>
      </w:r>
      <w:r>
        <w:rPr>
          <w:rFonts w:hint="eastAsia" w:ascii="仿宋" w:hAnsi="仿宋" w:eastAsia="仿宋"/>
          <w:b/>
          <w:bCs/>
          <w:sz w:val="32"/>
          <w:szCs w:val="32"/>
        </w:rPr>
        <w:t>系统填报要求</w:t>
      </w:r>
    </w:p>
    <w:p w14:paraId="64F8F443">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1.本年度实行网络申报。“全国教育科学规划管理平台”（</w:t>
      </w:r>
      <w:bookmarkStart w:id="1" w:name="_GoBack"/>
      <w:r>
        <w:rPr>
          <w:rFonts w:hint="eastAsia" w:ascii="仿宋" w:hAnsi="仿宋" w:eastAsia="仿宋"/>
          <w:sz w:val="32"/>
          <w:szCs w:val="32"/>
          <w:highlight w:val="none"/>
          <w:lang w:val="en-US" w:eastAsia="zh-CN"/>
        </w:rPr>
        <w:fldChar w:fldCharType="begin"/>
      </w:r>
      <w:r>
        <w:rPr>
          <w:rFonts w:hint="eastAsia" w:ascii="仿宋" w:hAnsi="仿宋" w:eastAsia="仿宋"/>
          <w:sz w:val="32"/>
          <w:szCs w:val="32"/>
          <w:highlight w:val="none"/>
          <w:lang w:val="en-US" w:eastAsia="zh-CN"/>
        </w:rPr>
        <w:instrText xml:space="preserve"> HYPERLINK "https://202.205.185.2271" </w:instrText>
      </w:r>
      <w:r>
        <w:rPr>
          <w:rFonts w:hint="eastAsia" w:ascii="仿宋" w:hAnsi="仿宋" w:eastAsia="仿宋"/>
          <w:sz w:val="32"/>
          <w:szCs w:val="32"/>
          <w:highlight w:val="none"/>
          <w:lang w:val="en-US" w:eastAsia="zh-CN"/>
        </w:rPr>
        <w:fldChar w:fldCharType="separate"/>
      </w:r>
      <w:r>
        <w:rPr>
          <w:rFonts w:hint="eastAsia" w:ascii="仿宋" w:hAnsi="仿宋" w:eastAsia="仿宋"/>
          <w:sz w:val="32"/>
          <w:szCs w:val="32"/>
          <w:highlight w:val="none"/>
          <w:lang w:val="en-US" w:eastAsia="zh-CN"/>
        </w:rPr>
        <w:t>https://202.205.185.2271</w:t>
      </w:r>
      <w:r>
        <w:rPr>
          <w:rFonts w:hint="eastAsia" w:ascii="仿宋" w:hAnsi="仿宋" w:eastAsia="仿宋"/>
          <w:sz w:val="32"/>
          <w:szCs w:val="32"/>
          <w:highlight w:val="none"/>
          <w:lang w:val="en-US" w:eastAsia="zh-CN"/>
        </w:rPr>
        <w:fldChar w:fldCharType="end"/>
      </w:r>
      <w:bookmarkEnd w:id="1"/>
      <w:r>
        <w:rPr>
          <w:rFonts w:hint="eastAsia" w:ascii="仿宋" w:hAnsi="仿宋" w:eastAsia="仿宋"/>
          <w:sz w:val="32"/>
          <w:szCs w:val="32"/>
          <w:highlight w:val="none"/>
          <w:lang w:val="en-US" w:eastAsia="zh-CN"/>
        </w:rPr>
        <w:t>，以下简称平台）中的“项目申报系统”为本次申报的唯一网络平台。网络申报办法及流程管理以该系统为准。全规办不直接受理个人申报。</w:t>
      </w:r>
    </w:p>
    <w:p w14:paraId="4380DD12">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申请人网上集中申报提交时间为2026年6月10日至6月22日，在此期间申请人可登录平台，填写并导出《申请书》，签字并加盖单位公章后，全文扫描在一个文档中，跟PDF版本的《活页》一起提交到平台上。要确保PDF版本的《申请书》和《活页》内容与在线填报的完全一致。逾期系统自动关闭，不再受理申报。</w:t>
      </w:r>
    </w:p>
    <w:p w14:paraId="52986E8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其他未尽事宜详见附件。</w:t>
      </w:r>
    </w:p>
    <w:p w14:paraId="2463EC85">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p>
    <w:p w14:paraId="575C6946">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联系人：黄航穗      联系电话：0756-7629875  </w:t>
      </w:r>
    </w:p>
    <w:p w14:paraId="022D79D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    </w:t>
      </w:r>
    </w:p>
    <w:p w14:paraId="4B90D5AF">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附件：1.广东省教育科学规划领导小组办公室关于做好2026年全国教育科学规划年度项目申报工作的通知 </w:t>
      </w:r>
    </w:p>
    <w:p w14:paraId="75644DD7">
      <w:pPr>
        <w:keepNext w:val="0"/>
        <w:keepLines w:val="0"/>
        <w:pageBreakBefore w:val="0"/>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2.2026年全国教育科学规划年度项目申报公告</w:t>
      </w:r>
    </w:p>
    <w:p w14:paraId="0D37D06D">
      <w:pPr>
        <w:keepNext w:val="0"/>
        <w:keepLines w:val="0"/>
        <w:pageBreakBefore w:val="0"/>
        <w:numPr>
          <w:ilvl w:val="0"/>
          <w:numId w:val="2"/>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2026年全国教育科学规划年度项目重点条目与重要方向</w:t>
      </w:r>
    </w:p>
    <w:p w14:paraId="719DFF49">
      <w:pPr>
        <w:keepNext w:val="0"/>
        <w:keepLines w:val="0"/>
        <w:pageBreakBefore w:val="0"/>
        <w:numPr>
          <w:ilvl w:val="0"/>
          <w:numId w:val="2"/>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2026年全国教育科学规划研究专项申报公告及指南</w:t>
      </w:r>
    </w:p>
    <w:p w14:paraId="7BE7426B">
      <w:pPr>
        <w:keepNext w:val="0"/>
        <w:keepLines w:val="0"/>
        <w:pageBreakBefore w:val="0"/>
        <w:numPr>
          <w:ilvl w:val="0"/>
          <w:numId w:val="2"/>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2025年度全国教育科学规划立项名单</w:t>
      </w:r>
    </w:p>
    <w:p w14:paraId="48BAB0BF">
      <w:pPr>
        <w:keepNext w:val="0"/>
        <w:keepLines w:val="0"/>
        <w:pageBreakBefore w:val="0"/>
        <w:numPr>
          <w:ilvl w:val="0"/>
          <w:numId w:val="2"/>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2026年全国教育科学规划年度项目（国家重点、国家一般、国家青年、教育部重点、教育部青年、博士生项目、专项）申请书</w:t>
      </w:r>
    </w:p>
    <w:p w14:paraId="217A4B7A">
      <w:pPr>
        <w:keepNext w:val="0"/>
        <w:keepLines w:val="0"/>
        <w:pageBreakBefore w:val="0"/>
        <w:numPr>
          <w:ilvl w:val="0"/>
          <w:numId w:val="2"/>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2026年全国教育科学规划项目（国家重点、国家一般、国家青年、教育部重点、教育部青年、博士生项目、专项）-活页</w:t>
      </w:r>
    </w:p>
    <w:p w14:paraId="53873D0C">
      <w:pPr>
        <w:keepNext w:val="0"/>
        <w:keepLines w:val="0"/>
        <w:pageBreakBefore w:val="0"/>
        <w:numPr>
          <w:ilvl w:val="0"/>
          <w:numId w:val="2"/>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2026年全国教育科学规划各类项目申报常见问题答疑</w:t>
      </w:r>
    </w:p>
    <w:p w14:paraId="74277830">
      <w:pPr>
        <w:keepNext w:val="0"/>
        <w:keepLines w:val="0"/>
        <w:pageBreakBefore w:val="0"/>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lang w:val="en-US" w:eastAsia="zh-CN"/>
        </w:rPr>
      </w:pPr>
    </w:p>
    <w:p w14:paraId="48CD318E">
      <w:pPr>
        <w:keepNext w:val="0"/>
        <w:keepLines w:val="0"/>
        <w:pageBreakBefore w:val="0"/>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lang w:val="en-US" w:eastAsia="zh-CN"/>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11</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EFDD5"/>
    <w:multiLevelType w:val="singleLevel"/>
    <w:tmpl w:val="BD7EFDD5"/>
    <w:lvl w:ilvl="0" w:tentative="0">
      <w:start w:val="3"/>
      <w:numFmt w:val="decimal"/>
      <w:suff w:val="space"/>
      <w:lvlText w:val="%1."/>
      <w:lvlJc w:val="left"/>
    </w:lvl>
  </w:abstractNum>
  <w:abstractNum w:abstractNumId="1">
    <w:nsid w:val="0D8073DA"/>
    <w:multiLevelType w:val="singleLevel"/>
    <w:tmpl w:val="0D8073D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0F3331"/>
    <w:rsid w:val="032762C4"/>
    <w:rsid w:val="0337305B"/>
    <w:rsid w:val="037C086D"/>
    <w:rsid w:val="03F55422"/>
    <w:rsid w:val="04003C23"/>
    <w:rsid w:val="04336539"/>
    <w:rsid w:val="044360DC"/>
    <w:rsid w:val="04AC2FD1"/>
    <w:rsid w:val="04C84BE0"/>
    <w:rsid w:val="04EA37FC"/>
    <w:rsid w:val="05943A92"/>
    <w:rsid w:val="05F62E73"/>
    <w:rsid w:val="05FD688A"/>
    <w:rsid w:val="067B40BC"/>
    <w:rsid w:val="06987A1C"/>
    <w:rsid w:val="06A411DD"/>
    <w:rsid w:val="06B22326"/>
    <w:rsid w:val="06F20703"/>
    <w:rsid w:val="0704440F"/>
    <w:rsid w:val="070C16FA"/>
    <w:rsid w:val="073E2C33"/>
    <w:rsid w:val="075E313A"/>
    <w:rsid w:val="07824636"/>
    <w:rsid w:val="07FB2349"/>
    <w:rsid w:val="081B22A1"/>
    <w:rsid w:val="081C383F"/>
    <w:rsid w:val="08761568"/>
    <w:rsid w:val="08A7406D"/>
    <w:rsid w:val="08AA6BF8"/>
    <w:rsid w:val="097924AD"/>
    <w:rsid w:val="09894555"/>
    <w:rsid w:val="0A2A1F67"/>
    <w:rsid w:val="0B9A5A77"/>
    <w:rsid w:val="0C0C2D55"/>
    <w:rsid w:val="0C3154F5"/>
    <w:rsid w:val="0D422A6F"/>
    <w:rsid w:val="0D9C3FF3"/>
    <w:rsid w:val="0DAC2802"/>
    <w:rsid w:val="0E1556D9"/>
    <w:rsid w:val="0E903DF5"/>
    <w:rsid w:val="0EC929FD"/>
    <w:rsid w:val="0F487D3C"/>
    <w:rsid w:val="0F543311"/>
    <w:rsid w:val="0FD21DC2"/>
    <w:rsid w:val="0FDB338B"/>
    <w:rsid w:val="0FF95F5F"/>
    <w:rsid w:val="104D6D9A"/>
    <w:rsid w:val="10976042"/>
    <w:rsid w:val="10AD5EBB"/>
    <w:rsid w:val="10DA18EF"/>
    <w:rsid w:val="10F75934"/>
    <w:rsid w:val="11502BA1"/>
    <w:rsid w:val="11A304BB"/>
    <w:rsid w:val="11C07BAE"/>
    <w:rsid w:val="120503CE"/>
    <w:rsid w:val="120B5DF0"/>
    <w:rsid w:val="124F355E"/>
    <w:rsid w:val="125F420A"/>
    <w:rsid w:val="12CE51BF"/>
    <w:rsid w:val="137666D7"/>
    <w:rsid w:val="139A307F"/>
    <w:rsid w:val="13B43DAE"/>
    <w:rsid w:val="140F7DDD"/>
    <w:rsid w:val="14861F22"/>
    <w:rsid w:val="15156DF7"/>
    <w:rsid w:val="152619A1"/>
    <w:rsid w:val="15D343B4"/>
    <w:rsid w:val="15D64B97"/>
    <w:rsid w:val="161A6A02"/>
    <w:rsid w:val="16402143"/>
    <w:rsid w:val="164910FE"/>
    <w:rsid w:val="169B4F09"/>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CD0380E"/>
    <w:rsid w:val="1D476D28"/>
    <w:rsid w:val="1DD701E4"/>
    <w:rsid w:val="1E721035"/>
    <w:rsid w:val="1E873EB3"/>
    <w:rsid w:val="1F6467DA"/>
    <w:rsid w:val="200302C0"/>
    <w:rsid w:val="20253C29"/>
    <w:rsid w:val="202C7F1C"/>
    <w:rsid w:val="205F062C"/>
    <w:rsid w:val="207F50F2"/>
    <w:rsid w:val="20BA09EF"/>
    <w:rsid w:val="20DD78A4"/>
    <w:rsid w:val="20E050D7"/>
    <w:rsid w:val="21142E77"/>
    <w:rsid w:val="21DE436E"/>
    <w:rsid w:val="22351EC4"/>
    <w:rsid w:val="224C7B43"/>
    <w:rsid w:val="22BB5EE7"/>
    <w:rsid w:val="22E4578E"/>
    <w:rsid w:val="22F32149"/>
    <w:rsid w:val="22F927BC"/>
    <w:rsid w:val="230E763A"/>
    <w:rsid w:val="233C4DE5"/>
    <w:rsid w:val="239B06F1"/>
    <w:rsid w:val="24315539"/>
    <w:rsid w:val="243F3E9B"/>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A4105C"/>
    <w:rsid w:val="29C97F80"/>
    <w:rsid w:val="2A5E2045"/>
    <w:rsid w:val="2A607039"/>
    <w:rsid w:val="2A654D3E"/>
    <w:rsid w:val="2A847E05"/>
    <w:rsid w:val="2A881651"/>
    <w:rsid w:val="2A976B12"/>
    <w:rsid w:val="2AEF3A6B"/>
    <w:rsid w:val="2B690BB6"/>
    <w:rsid w:val="2BAA3D50"/>
    <w:rsid w:val="2BB02968"/>
    <w:rsid w:val="2BB41A2C"/>
    <w:rsid w:val="2BBA52E9"/>
    <w:rsid w:val="2C612E67"/>
    <w:rsid w:val="2CF07B2C"/>
    <w:rsid w:val="2D3A123B"/>
    <w:rsid w:val="2D5D12F9"/>
    <w:rsid w:val="2D773BDD"/>
    <w:rsid w:val="2D94060A"/>
    <w:rsid w:val="2DA804D7"/>
    <w:rsid w:val="2E07045A"/>
    <w:rsid w:val="2E5E2742"/>
    <w:rsid w:val="2EF20647"/>
    <w:rsid w:val="2EF66F26"/>
    <w:rsid w:val="2F3D6A9E"/>
    <w:rsid w:val="2F55672F"/>
    <w:rsid w:val="304C0661"/>
    <w:rsid w:val="30963095"/>
    <w:rsid w:val="30A00B77"/>
    <w:rsid w:val="30ED267A"/>
    <w:rsid w:val="311D5775"/>
    <w:rsid w:val="314D58AA"/>
    <w:rsid w:val="316D12B1"/>
    <w:rsid w:val="31840E88"/>
    <w:rsid w:val="32132A99"/>
    <w:rsid w:val="3289677F"/>
    <w:rsid w:val="32B86555"/>
    <w:rsid w:val="32DC7485"/>
    <w:rsid w:val="33856A8E"/>
    <w:rsid w:val="33891472"/>
    <w:rsid w:val="33BC768B"/>
    <w:rsid w:val="33F03684"/>
    <w:rsid w:val="33FB1FED"/>
    <w:rsid w:val="33FC6423"/>
    <w:rsid w:val="347704AF"/>
    <w:rsid w:val="34C72231"/>
    <w:rsid w:val="35F379AF"/>
    <w:rsid w:val="36B04C59"/>
    <w:rsid w:val="36DE55D7"/>
    <w:rsid w:val="377E628B"/>
    <w:rsid w:val="379A2D75"/>
    <w:rsid w:val="380F5C07"/>
    <w:rsid w:val="385C2E16"/>
    <w:rsid w:val="388303A3"/>
    <w:rsid w:val="38B77DA3"/>
    <w:rsid w:val="38C82573"/>
    <w:rsid w:val="38CE02BA"/>
    <w:rsid w:val="38D33600"/>
    <w:rsid w:val="38F86B1E"/>
    <w:rsid w:val="395E4745"/>
    <w:rsid w:val="39772C3F"/>
    <w:rsid w:val="39AE46DE"/>
    <w:rsid w:val="39C2350C"/>
    <w:rsid w:val="39FA611E"/>
    <w:rsid w:val="3B130A51"/>
    <w:rsid w:val="3B162FBA"/>
    <w:rsid w:val="3B597383"/>
    <w:rsid w:val="3B842468"/>
    <w:rsid w:val="3C232ADA"/>
    <w:rsid w:val="3CC87A60"/>
    <w:rsid w:val="3D161AB1"/>
    <w:rsid w:val="3D9F085D"/>
    <w:rsid w:val="3DBA4B5C"/>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182B56"/>
    <w:rsid w:val="415E1187"/>
    <w:rsid w:val="419C038F"/>
    <w:rsid w:val="41E662F8"/>
    <w:rsid w:val="424B41AB"/>
    <w:rsid w:val="428946B8"/>
    <w:rsid w:val="42F25A01"/>
    <w:rsid w:val="43395B6C"/>
    <w:rsid w:val="43620D37"/>
    <w:rsid w:val="43F0366A"/>
    <w:rsid w:val="449C6A74"/>
    <w:rsid w:val="44D01879"/>
    <w:rsid w:val="45226830"/>
    <w:rsid w:val="464928DD"/>
    <w:rsid w:val="4654131B"/>
    <w:rsid w:val="466A1470"/>
    <w:rsid w:val="46D93940"/>
    <w:rsid w:val="46E75FA1"/>
    <w:rsid w:val="471C3399"/>
    <w:rsid w:val="47490A0A"/>
    <w:rsid w:val="47B44A5C"/>
    <w:rsid w:val="47F61467"/>
    <w:rsid w:val="48D5508E"/>
    <w:rsid w:val="49707384"/>
    <w:rsid w:val="497A5B7B"/>
    <w:rsid w:val="497E0E3E"/>
    <w:rsid w:val="4983003A"/>
    <w:rsid w:val="4A327118"/>
    <w:rsid w:val="4A340CAB"/>
    <w:rsid w:val="4AFA6845"/>
    <w:rsid w:val="4B286A76"/>
    <w:rsid w:val="4B5877C4"/>
    <w:rsid w:val="4B8F523A"/>
    <w:rsid w:val="4B9544CD"/>
    <w:rsid w:val="4BA3499B"/>
    <w:rsid w:val="4BD44565"/>
    <w:rsid w:val="4BE310E0"/>
    <w:rsid w:val="4C5F441E"/>
    <w:rsid w:val="4CC71E2F"/>
    <w:rsid w:val="4CC92917"/>
    <w:rsid w:val="4CDC1F1A"/>
    <w:rsid w:val="4D045D0C"/>
    <w:rsid w:val="4D5B6F6C"/>
    <w:rsid w:val="4D714816"/>
    <w:rsid w:val="4D7F2DF3"/>
    <w:rsid w:val="4D9873CC"/>
    <w:rsid w:val="4E3A158A"/>
    <w:rsid w:val="4E5902DD"/>
    <w:rsid w:val="4EDA32B7"/>
    <w:rsid w:val="4EE00D35"/>
    <w:rsid w:val="4F095028"/>
    <w:rsid w:val="4F244705"/>
    <w:rsid w:val="4F4F74F5"/>
    <w:rsid w:val="4F8F5284"/>
    <w:rsid w:val="4F933F2B"/>
    <w:rsid w:val="4F9A2751"/>
    <w:rsid w:val="4FE84FCD"/>
    <w:rsid w:val="4FF51FBE"/>
    <w:rsid w:val="506A211C"/>
    <w:rsid w:val="50F82005"/>
    <w:rsid w:val="51692372"/>
    <w:rsid w:val="51BD627C"/>
    <w:rsid w:val="51D86526"/>
    <w:rsid w:val="52331DC6"/>
    <w:rsid w:val="527228AA"/>
    <w:rsid w:val="52812993"/>
    <w:rsid w:val="5300132E"/>
    <w:rsid w:val="535836E7"/>
    <w:rsid w:val="53642284"/>
    <w:rsid w:val="540C54E0"/>
    <w:rsid w:val="54DB755C"/>
    <w:rsid w:val="550C1B16"/>
    <w:rsid w:val="55436A98"/>
    <w:rsid w:val="557B5F14"/>
    <w:rsid w:val="55807CEC"/>
    <w:rsid w:val="55CF4430"/>
    <w:rsid w:val="561436C4"/>
    <w:rsid w:val="565E2FB8"/>
    <w:rsid w:val="565F5B54"/>
    <w:rsid w:val="56CC5043"/>
    <w:rsid w:val="56D54AF9"/>
    <w:rsid w:val="56E742C7"/>
    <w:rsid w:val="56F83247"/>
    <w:rsid w:val="57327D4B"/>
    <w:rsid w:val="578B7279"/>
    <w:rsid w:val="57C60CDA"/>
    <w:rsid w:val="58612B6B"/>
    <w:rsid w:val="589347A0"/>
    <w:rsid w:val="589376AF"/>
    <w:rsid w:val="58A31D94"/>
    <w:rsid w:val="58D93D60"/>
    <w:rsid w:val="58F96A12"/>
    <w:rsid w:val="5A1A5649"/>
    <w:rsid w:val="5AB81CD6"/>
    <w:rsid w:val="5AC70954"/>
    <w:rsid w:val="5B0E45DD"/>
    <w:rsid w:val="5B3F1735"/>
    <w:rsid w:val="5BAC6B6D"/>
    <w:rsid w:val="5BB53BA8"/>
    <w:rsid w:val="5C403784"/>
    <w:rsid w:val="5C596A6C"/>
    <w:rsid w:val="5C7745DD"/>
    <w:rsid w:val="5C8F13A9"/>
    <w:rsid w:val="5CC92D50"/>
    <w:rsid w:val="5D230B3A"/>
    <w:rsid w:val="5D661540"/>
    <w:rsid w:val="5D701798"/>
    <w:rsid w:val="5D997ED3"/>
    <w:rsid w:val="5DBA5090"/>
    <w:rsid w:val="5E2751A9"/>
    <w:rsid w:val="5E9C7E59"/>
    <w:rsid w:val="5ED80899"/>
    <w:rsid w:val="5EFA1AED"/>
    <w:rsid w:val="5EFA2BC8"/>
    <w:rsid w:val="5F0D085A"/>
    <w:rsid w:val="601B344C"/>
    <w:rsid w:val="60D65B8E"/>
    <w:rsid w:val="60F50A7F"/>
    <w:rsid w:val="61137C66"/>
    <w:rsid w:val="613C540F"/>
    <w:rsid w:val="613C7568"/>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BF1447"/>
    <w:rsid w:val="66EA50AD"/>
    <w:rsid w:val="671D36A1"/>
    <w:rsid w:val="674B43C0"/>
    <w:rsid w:val="675E59B4"/>
    <w:rsid w:val="6780592A"/>
    <w:rsid w:val="67EA04FA"/>
    <w:rsid w:val="682E1951"/>
    <w:rsid w:val="68532D14"/>
    <w:rsid w:val="688D503D"/>
    <w:rsid w:val="68A64CF8"/>
    <w:rsid w:val="68DA785D"/>
    <w:rsid w:val="692B5075"/>
    <w:rsid w:val="69C22C62"/>
    <w:rsid w:val="69CE3AE3"/>
    <w:rsid w:val="6A4F5D5D"/>
    <w:rsid w:val="6A535EB2"/>
    <w:rsid w:val="6A5E33EB"/>
    <w:rsid w:val="6ADA1601"/>
    <w:rsid w:val="6B0D4AB2"/>
    <w:rsid w:val="6B1B4B17"/>
    <w:rsid w:val="6B2C20D0"/>
    <w:rsid w:val="6B4C7A76"/>
    <w:rsid w:val="6B4D6F80"/>
    <w:rsid w:val="6B531C9C"/>
    <w:rsid w:val="6B592B59"/>
    <w:rsid w:val="6B681478"/>
    <w:rsid w:val="6BF332C9"/>
    <w:rsid w:val="6C0B04B5"/>
    <w:rsid w:val="6C174964"/>
    <w:rsid w:val="6C2966CB"/>
    <w:rsid w:val="6C991968"/>
    <w:rsid w:val="6CA955FA"/>
    <w:rsid w:val="6CD343AF"/>
    <w:rsid w:val="6CF1791D"/>
    <w:rsid w:val="6D6C0E2A"/>
    <w:rsid w:val="6DF901E4"/>
    <w:rsid w:val="6E3260E0"/>
    <w:rsid w:val="6E6B3B8F"/>
    <w:rsid w:val="6E800753"/>
    <w:rsid w:val="6EE334C1"/>
    <w:rsid w:val="6F543151"/>
    <w:rsid w:val="6F6134C3"/>
    <w:rsid w:val="6F89402D"/>
    <w:rsid w:val="6FE80510"/>
    <w:rsid w:val="704E6E85"/>
    <w:rsid w:val="70AC53E6"/>
    <w:rsid w:val="7113573E"/>
    <w:rsid w:val="714B5D87"/>
    <w:rsid w:val="717C61FC"/>
    <w:rsid w:val="719C15B2"/>
    <w:rsid w:val="721E3C1E"/>
    <w:rsid w:val="72262F9B"/>
    <w:rsid w:val="72490BC4"/>
    <w:rsid w:val="729C457E"/>
    <w:rsid w:val="72A45EFF"/>
    <w:rsid w:val="72AF7BFB"/>
    <w:rsid w:val="72BA1073"/>
    <w:rsid w:val="72E815DB"/>
    <w:rsid w:val="73404930"/>
    <w:rsid w:val="73420C2D"/>
    <w:rsid w:val="73520B4E"/>
    <w:rsid w:val="737A1DC7"/>
    <w:rsid w:val="73BF5B2F"/>
    <w:rsid w:val="73C039E6"/>
    <w:rsid w:val="73C54194"/>
    <w:rsid w:val="73E56B06"/>
    <w:rsid w:val="748969AA"/>
    <w:rsid w:val="74D232B3"/>
    <w:rsid w:val="75705B94"/>
    <w:rsid w:val="75C62C7F"/>
    <w:rsid w:val="75DA6B4D"/>
    <w:rsid w:val="75E96D9A"/>
    <w:rsid w:val="76241FBB"/>
    <w:rsid w:val="764D084D"/>
    <w:rsid w:val="76B32BBF"/>
    <w:rsid w:val="76DB7C64"/>
    <w:rsid w:val="76EA5EAB"/>
    <w:rsid w:val="76FB599D"/>
    <w:rsid w:val="77E40661"/>
    <w:rsid w:val="77ED2B68"/>
    <w:rsid w:val="7808174F"/>
    <w:rsid w:val="782675D5"/>
    <w:rsid w:val="78473F9A"/>
    <w:rsid w:val="7873197F"/>
    <w:rsid w:val="78B25175"/>
    <w:rsid w:val="78BA08F4"/>
    <w:rsid w:val="78BC4EB5"/>
    <w:rsid w:val="79113E35"/>
    <w:rsid w:val="793E6DBE"/>
    <w:rsid w:val="796913AF"/>
    <w:rsid w:val="796F4B1A"/>
    <w:rsid w:val="79701CA2"/>
    <w:rsid w:val="79D91228"/>
    <w:rsid w:val="7A0A0216"/>
    <w:rsid w:val="7A1C60A8"/>
    <w:rsid w:val="7A6D4240"/>
    <w:rsid w:val="7AB2236D"/>
    <w:rsid w:val="7AC07DF0"/>
    <w:rsid w:val="7AC448A7"/>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2514</Words>
  <Characters>2725</Characters>
  <Lines>11</Lines>
  <Paragraphs>3</Paragraphs>
  <TotalTime>2</TotalTime>
  <ScaleCrop>false</ScaleCrop>
  <LinksUpToDate>false</LinksUpToDate>
  <CharactersWithSpaces>2744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2026-06-11T06:42:54Z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