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400" w:lineRule="exact"/>
        <w:jc w:val="center"/>
        <w:rPr>
          <w:rFonts w:asciiTheme="majorEastAsia" w:hAnsiTheme="majorEastAsia" w:eastAsia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hint="eastAsia" w:asciiTheme="majorEastAsia" w:hAnsiTheme="majorEastAsia" w:eastAsiaTheme="major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hint="eastAsia" w:ascii="宋体" w:hAnsi="宋体" w:eastAsia="宋体" w:cs="Times New Roman"/>
          <w:color w:val="C00000"/>
          <w:spacing w:val="60"/>
          <w:sz w:val="72"/>
          <w:szCs w:val="84"/>
          <w:lang w:eastAsia="zh-CN"/>
        </w:rPr>
        <w:t>处</w:t>
      </w:r>
    </w:p>
    <w:p>
      <w:pPr>
        <w:tabs>
          <w:tab w:val="left" w:pos="3991"/>
        </w:tabs>
        <w:spacing w:line="400" w:lineRule="exact"/>
        <w:rPr>
          <w:rFonts w:ascii="仿宋_GB2312" w:hAnsi="宋体" w:eastAsia="仿宋_GB2312"/>
          <w:sz w:val="32"/>
          <w:szCs w:val="32"/>
          <w:lang w:eastAsia="zh-CN"/>
        </w:rPr>
      </w:pPr>
      <w:r>
        <w:rPr>
          <w:rFonts w:ascii="仿宋_GB2312" w:hAnsi="宋体" w:eastAsia="仿宋_GB2312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-26.4pt;margin-top:10.5pt;height:0pt;width:477.2pt;z-index:251658240;mso-width-relative:page;mso-height-relative:page;" filled="f" stroked="t" coordsize="21600,21600" o:gfxdata="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YlXOfUAAAACQEAAA8AAAAAAAAAAQAg&#10;AAAAIgAAAGRycy9kb3ducmV2LnhtbFBLAQIUABQAAAAIAIdO4kDvn7zo2QEAANQDAAAOAAAAAAAA&#10;AAEAIAAAACMBAABkcnMvZTJvRG9jLnhtbFBLBQYAAAAABgAGAFkBAABuBQAAAAA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991"/>
        </w:tabs>
        <w:spacing w:before="120" w:beforeLines="50" w:line="360" w:lineRule="auto"/>
        <w:jc w:val="right"/>
        <w:rPr>
          <w:rFonts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校科字〔202</w:t>
      </w:r>
      <w:r>
        <w:rPr>
          <w:rFonts w:ascii="黑体" w:hAnsi="黑体" w:eastAsia="黑体"/>
          <w:sz w:val="32"/>
          <w:szCs w:val="32"/>
          <w:lang w:eastAsia="zh-CN"/>
        </w:rPr>
        <w:t>1</w:t>
      </w:r>
      <w:r>
        <w:rPr>
          <w:rFonts w:hint="eastAsia" w:ascii="黑体" w:hAnsi="黑体" w:eastAsia="黑体"/>
          <w:sz w:val="32"/>
          <w:szCs w:val="32"/>
          <w:lang w:eastAsia="zh-CN"/>
        </w:rPr>
        <w:t>〕</w:t>
      </w:r>
      <w:r>
        <w:rPr>
          <w:rFonts w:ascii="黑体" w:hAnsi="黑体" w:eastAsia="黑体"/>
          <w:sz w:val="32"/>
          <w:szCs w:val="32"/>
          <w:lang w:eastAsia="zh-CN"/>
        </w:rPr>
        <w:t>60</w:t>
      </w:r>
      <w:r>
        <w:rPr>
          <w:rFonts w:hint="eastAsia" w:ascii="黑体" w:hAnsi="黑体" w:eastAsia="黑体"/>
          <w:sz w:val="32"/>
          <w:szCs w:val="32"/>
          <w:lang w:eastAsia="zh-CN"/>
        </w:rPr>
        <w:t>号</w:t>
      </w:r>
    </w:p>
    <w:p>
      <w:pPr>
        <w:spacing w:line="360" w:lineRule="auto"/>
        <w:jc w:val="center"/>
        <w:rPr>
          <w:rFonts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关于转发《</w:t>
      </w:r>
      <w:bookmarkStart w:id="0" w:name="_Hlk81726226"/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广东省科学技术厅关于开展</w:t>
      </w:r>
      <w:r>
        <w:rPr>
          <w:rFonts w:asciiTheme="majorEastAsia" w:hAnsiTheme="majorEastAsia" w:eastAsiaTheme="majorEastAsia"/>
          <w:b/>
          <w:sz w:val="44"/>
          <w:szCs w:val="44"/>
          <w:lang w:eastAsia="zh-CN"/>
        </w:rPr>
        <w:t>2021</w:t>
      </w:r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年企业科技特派员工作的通知</w:t>
      </w:r>
      <w:bookmarkEnd w:id="0"/>
      <w:r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  <w:t>》的通知</w:t>
      </w:r>
    </w:p>
    <w:p>
      <w:pPr>
        <w:spacing w:line="360" w:lineRule="auto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  <w:lang w:eastAsia="zh-CN"/>
        </w:rPr>
      </w:pPr>
      <w:bookmarkStart w:id="1" w:name="_Hlk63152268"/>
      <w:r>
        <w:rPr>
          <w:rFonts w:hint="eastAsia" w:ascii="仿宋" w:hAnsi="仿宋" w:eastAsia="仿宋"/>
          <w:sz w:val="30"/>
          <w:szCs w:val="30"/>
          <w:lang w:eastAsia="zh-CN"/>
        </w:rPr>
        <w:t>现转发广东省科技厅文件《广东省科学技术厅关于开展</w:t>
      </w:r>
      <w:r>
        <w:rPr>
          <w:rFonts w:ascii="仿宋" w:hAnsi="仿宋" w:eastAsia="仿宋"/>
          <w:sz w:val="30"/>
          <w:szCs w:val="30"/>
          <w:lang w:eastAsia="zh-CN"/>
        </w:rPr>
        <w:t>2021</w:t>
      </w:r>
      <w:r>
        <w:rPr>
          <w:rFonts w:hint="eastAsia" w:ascii="仿宋" w:hAnsi="仿宋" w:eastAsia="仿宋"/>
          <w:sz w:val="30"/>
          <w:szCs w:val="30"/>
          <w:lang w:eastAsia="zh-CN"/>
        </w:rPr>
        <w:t>年企业科技特派员工作的通知》</w:t>
      </w:r>
      <w:bookmarkEnd w:id="1"/>
      <w:r>
        <w:rPr>
          <w:rFonts w:hint="eastAsia" w:ascii="仿宋" w:hAnsi="仿宋" w:eastAsia="仿宋"/>
          <w:sz w:val="30"/>
          <w:szCs w:val="30"/>
          <w:lang w:eastAsia="zh-CN"/>
        </w:rPr>
        <w:t>（粤科函专字〔</w:t>
      </w:r>
      <w:r>
        <w:rPr>
          <w:rFonts w:ascii="仿宋" w:hAnsi="仿宋" w:eastAsia="仿宋"/>
          <w:sz w:val="30"/>
          <w:szCs w:val="30"/>
          <w:lang w:eastAsia="zh-CN"/>
        </w:rPr>
        <w:t>2021</w:t>
      </w:r>
      <w:r>
        <w:rPr>
          <w:rFonts w:hint="eastAsia" w:ascii="仿宋" w:hAnsi="仿宋" w:eastAsia="仿宋"/>
          <w:sz w:val="30"/>
          <w:szCs w:val="30"/>
          <w:lang w:eastAsia="zh-CN"/>
        </w:rPr>
        <w:t>〕</w:t>
      </w:r>
      <w:r>
        <w:rPr>
          <w:rFonts w:ascii="仿宋" w:hAnsi="仿宋" w:eastAsia="仿宋"/>
          <w:sz w:val="30"/>
          <w:szCs w:val="30"/>
          <w:lang w:eastAsia="zh-CN"/>
        </w:rPr>
        <w:t>1062</w:t>
      </w:r>
      <w:r>
        <w:rPr>
          <w:rFonts w:hint="eastAsia" w:ascii="仿宋" w:hAnsi="仿宋" w:eastAsia="仿宋"/>
          <w:sz w:val="30"/>
          <w:szCs w:val="30"/>
          <w:lang w:eastAsia="zh-CN"/>
        </w:rPr>
        <w:t>号），请有意向为企业解决技术需求的教师在华转网（</w:t>
      </w:r>
      <w:r>
        <w:rPr>
          <w:rFonts w:ascii="仿宋" w:hAnsi="仿宋" w:eastAsia="仿宋"/>
          <w:sz w:val="30"/>
          <w:szCs w:val="30"/>
          <w:lang w:eastAsia="zh-CN"/>
        </w:rPr>
        <w:t>https://www.sctcc.cn/</w:t>
      </w:r>
      <w:r>
        <w:rPr>
          <w:rFonts w:hint="eastAsia" w:ascii="仿宋" w:hAnsi="仿宋" w:eastAsia="仿宋"/>
          <w:sz w:val="30"/>
          <w:szCs w:val="30"/>
          <w:lang w:eastAsia="zh-CN"/>
        </w:rPr>
        <w:t>）进行注册并申请入库。线上提交资料后请与科研处管理员联系，以便学校通过审核。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因广东省相关资助政策截止至2</w:t>
      </w:r>
      <w:r>
        <w:rPr>
          <w:rFonts w:ascii="仿宋" w:hAnsi="仿宋" w:eastAsia="仿宋"/>
          <w:sz w:val="30"/>
          <w:szCs w:val="30"/>
          <w:lang w:eastAsia="zh-CN"/>
        </w:rPr>
        <w:t>021</w:t>
      </w:r>
      <w:r>
        <w:rPr>
          <w:rFonts w:hint="eastAsia" w:ascii="仿宋" w:hAnsi="仿宋" w:eastAsia="仿宋"/>
          <w:sz w:val="30"/>
          <w:szCs w:val="30"/>
          <w:lang w:eastAsia="zh-CN"/>
        </w:rPr>
        <w:t>年1</w:t>
      </w:r>
      <w:r>
        <w:rPr>
          <w:rFonts w:ascii="仿宋" w:hAnsi="仿宋" w:eastAsia="仿宋"/>
          <w:sz w:val="30"/>
          <w:szCs w:val="30"/>
          <w:lang w:eastAsia="zh-CN"/>
        </w:rPr>
        <w:t>1</w:t>
      </w:r>
      <w:r>
        <w:rPr>
          <w:rFonts w:hint="eastAsia" w:ascii="仿宋" w:hAnsi="仿宋" w:eastAsia="仿宋"/>
          <w:sz w:val="30"/>
          <w:szCs w:val="30"/>
          <w:lang w:eastAsia="zh-CN"/>
        </w:rPr>
        <w:t>月3</w:t>
      </w:r>
      <w:r>
        <w:rPr>
          <w:rFonts w:ascii="仿宋" w:hAnsi="仿宋" w:eastAsia="仿宋"/>
          <w:sz w:val="30"/>
          <w:szCs w:val="30"/>
          <w:lang w:eastAsia="zh-CN"/>
        </w:rPr>
        <w:t>0</w:t>
      </w:r>
      <w:r>
        <w:rPr>
          <w:rFonts w:hint="eastAsia" w:ascii="仿宋" w:hAnsi="仿宋" w:eastAsia="仿宋"/>
          <w:sz w:val="30"/>
          <w:szCs w:val="30"/>
          <w:lang w:eastAsia="zh-CN"/>
        </w:rPr>
        <w:t>日，在此期间内企业发布的需求会较为集中，请成功入库的教师届时关注相关信息。</w:t>
      </w:r>
    </w:p>
    <w:p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具体事项详见附件。</w:t>
      </w:r>
    </w:p>
    <w:p>
      <w:pPr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360" w:lineRule="auto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附件1.广东省科学技术厅关于开展2021年企业科技特派员工作的通知</w:t>
      </w:r>
      <w:bookmarkStart w:id="2" w:name="_GoBack"/>
      <w:bookmarkEnd w:id="2"/>
    </w:p>
    <w:p>
      <w:pPr>
        <w:spacing w:line="360" w:lineRule="auto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附件2.2021年广东省企业科技特派员工作实施方案</w:t>
      </w:r>
    </w:p>
    <w:p>
      <w:pPr>
        <w:spacing w:line="360" w:lineRule="auto"/>
        <w:rPr>
          <w:rFonts w:hint="eastAsia" w:ascii="仿宋" w:hAnsi="仿宋" w:eastAsia="仿宋"/>
          <w:bCs/>
          <w:sz w:val="24"/>
          <w:szCs w:val="24"/>
          <w:lang w:eastAsia="zh-CN"/>
        </w:rPr>
      </w:pPr>
    </w:p>
    <w:p>
      <w:pPr>
        <w:spacing w:line="360" w:lineRule="auto"/>
        <w:ind w:left="880" w:leftChars="400"/>
        <w:rPr>
          <w:rFonts w:ascii="仿宋" w:hAnsi="仿宋" w:eastAsia="仿宋"/>
          <w:bCs/>
          <w:sz w:val="30"/>
          <w:szCs w:val="30"/>
          <w:lang w:eastAsia="zh-CN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联系人：朱禹铮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 xml:space="preserve">王  宇 </w:t>
      </w:r>
      <w:r>
        <w:rPr>
          <w:rFonts w:ascii="仿宋" w:hAnsi="仿宋" w:eastAsia="仿宋"/>
          <w:bCs/>
          <w:sz w:val="30"/>
          <w:szCs w:val="30"/>
          <w:lang w:eastAsia="zh-CN"/>
        </w:rPr>
        <w:t xml:space="preserve">   </w:t>
      </w:r>
      <w:r>
        <w:rPr>
          <w:rFonts w:hint="eastAsia" w:ascii="仿宋" w:hAnsi="仿宋" w:eastAsia="仿宋"/>
          <w:bCs/>
          <w:sz w:val="30"/>
          <w:szCs w:val="30"/>
          <w:lang w:eastAsia="zh-CN"/>
        </w:rPr>
        <w:t>联系电话：</w:t>
      </w:r>
      <w:r>
        <w:rPr>
          <w:rFonts w:ascii="仿宋" w:hAnsi="仿宋" w:eastAsia="仿宋"/>
          <w:bCs/>
          <w:sz w:val="30"/>
          <w:szCs w:val="30"/>
          <w:lang w:eastAsia="zh-CN"/>
        </w:rPr>
        <w:t>0756-7638546</w:t>
      </w:r>
    </w:p>
    <w:p>
      <w:pPr>
        <w:wordWrap w:val="0"/>
        <w:spacing w:line="360" w:lineRule="auto"/>
        <w:rPr>
          <w:rFonts w:ascii="仿宋" w:hAnsi="仿宋" w:eastAsia="仿宋"/>
          <w:bCs/>
          <w:sz w:val="28"/>
          <w:szCs w:val="28"/>
          <w:lang w:eastAsia="zh-CN"/>
        </w:rPr>
      </w:pPr>
    </w:p>
    <w:p>
      <w:pPr>
        <w:spacing w:line="360" w:lineRule="auto"/>
        <w:rPr>
          <w:rFonts w:ascii="仿宋" w:hAnsi="仿宋" w:eastAsia="仿宋"/>
          <w:bCs/>
          <w:sz w:val="30"/>
          <w:szCs w:val="30"/>
          <w:lang w:eastAsia="zh-CN"/>
        </w:rPr>
      </w:pPr>
    </w:p>
    <w:p>
      <w:pPr>
        <w:spacing w:line="560" w:lineRule="exact"/>
        <w:ind w:right="1450"/>
        <w:jc w:val="right"/>
        <w:rPr>
          <w:rFonts w:ascii="仿宋" w:hAnsi="仿宋" w:eastAsia="仿宋"/>
          <w:sz w:val="30"/>
          <w:szCs w:val="30"/>
          <w:lang w:eastAsia="zh-CN"/>
        </w:rPr>
      </w:pPr>
    </w:p>
    <w:p>
      <w:pPr>
        <w:spacing w:line="560" w:lineRule="exact"/>
        <w:ind w:right="1450"/>
        <w:jc w:val="right"/>
        <w:rPr>
          <w:rFonts w:ascii="仿宋" w:hAnsi="仿宋" w:eastAsia="仿宋"/>
          <w:sz w:val="30"/>
          <w:szCs w:val="30"/>
          <w:lang w:eastAsia="zh-CN"/>
        </w:rPr>
      </w:pPr>
    </w:p>
    <w:p>
      <w:pPr>
        <w:spacing w:line="560" w:lineRule="exact"/>
        <w:ind w:right="145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科研处</w:t>
      </w:r>
    </w:p>
    <w:p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2</w:t>
      </w:r>
      <w:r>
        <w:rPr>
          <w:rFonts w:ascii="仿宋" w:hAnsi="仿宋" w:eastAsia="仿宋"/>
          <w:sz w:val="30"/>
          <w:szCs w:val="30"/>
          <w:lang w:eastAsia="zh-CN"/>
        </w:rPr>
        <w:t>021</w:t>
      </w:r>
      <w:r>
        <w:rPr>
          <w:rFonts w:hint="eastAsia" w:ascii="仿宋" w:hAnsi="仿宋" w:eastAsia="仿宋"/>
          <w:sz w:val="30"/>
          <w:szCs w:val="30"/>
          <w:lang w:eastAsia="zh-CN"/>
        </w:rPr>
        <w:t>年</w:t>
      </w:r>
      <w:r>
        <w:rPr>
          <w:rFonts w:ascii="仿宋" w:hAnsi="仿宋" w:eastAsia="仿宋"/>
          <w:sz w:val="30"/>
          <w:szCs w:val="30"/>
          <w:lang w:eastAsia="zh-CN"/>
        </w:rPr>
        <w:t>9</w:t>
      </w:r>
      <w:r>
        <w:rPr>
          <w:rFonts w:hint="eastAsia" w:ascii="仿宋" w:hAnsi="仿宋" w:eastAsia="仿宋"/>
          <w:sz w:val="30"/>
          <w:szCs w:val="30"/>
          <w:lang w:eastAsia="zh-CN"/>
        </w:rPr>
        <w:t>月</w:t>
      </w:r>
      <w:r>
        <w:rPr>
          <w:rFonts w:ascii="仿宋" w:hAnsi="仿宋" w:eastAsia="仿宋"/>
          <w:sz w:val="30"/>
          <w:szCs w:val="30"/>
          <w:lang w:eastAsia="zh-CN"/>
        </w:rPr>
        <w:t>5</w:t>
      </w:r>
      <w:r>
        <w:rPr>
          <w:rFonts w:hint="eastAsia" w:ascii="仿宋" w:hAnsi="仿宋" w:eastAsia="仿宋"/>
          <w:sz w:val="30"/>
          <w:szCs w:val="30"/>
          <w:lang w:eastAsia="zh-CN"/>
        </w:rPr>
        <w:t>日</w:t>
      </w:r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>
    <w:pPr>
      <w:spacing w:line="440" w:lineRule="exact"/>
      <w:rPr>
        <w:rFonts w:ascii="仿宋_GB2312" w:eastAsia="仿宋_GB2312"/>
        <w:sz w:val="32"/>
        <w:szCs w:val="32"/>
      </w:rPr>
    </w:pP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0"/>
  <w:displayVerticalDrawingGridEvery w:val="2"/>
  <w:characterSpacingControl w:val="doNotCompress"/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2171D1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5">
    <w:name w:val="Date"/>
    <w:basedOn w:val="1"/>
    <w:next w:val="1"/>
    <w:link w:val="29"/>
    <w:uiPriority w:val="0"/>
    <w:pPr>
      <w:ind w:left="100" w:leftChars="2500"/>
    </w:pPr>
  </w:style>
  <w:style w:type="paragraph" w:styleId="6">
    <w:name w:val="Balloon Text"/>
    <w:basedOn w:val="1"/>
    <w:link w:val="28"/>
    <w:qFormat/>
    <w:uiPriority w:val="0"/>
    <w:rPr>
      <w:sz w:val="18"/>
      <w:szCs w:val="18"/>
    </w:rPr>
  </w:style>
  <w:style w:type="paragraph" w:styleId="7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22"/>
    <w:rPr>
      <w:b/>
      <w:bCs/>
    </w:rPr>
  </w:style>
  <w:style w:type="character" w:styleId="14">
    <w:name w:val="FollowedHyperlink"/>
    <w:basedOn w:val="12"/>
    <w:qFormat/>
    <w:uiPriority w:val="0"/>
    <w:rPr>
      <w:color w:val="333333"/>
      <w:u w:val="none"/>
    </w:rPr>
  </w:style>
  <w:style w:type="character" w:styleId="15">
    <w:name w:val="HTML Acronym"/>
    <w:basedOn w:val="12"/>
    <w:qFormat/>
    <w:uiPriority w:val="0"/>
  </w:style>
  <w:style w:type="character" w:styleId="16">
    <w:name w:val="Hyperlink"/>
    <w:basedOn w:val="12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8">
    <w:name w:val="List Paragraph"/>
    <w:basedOn w:val="1"/>
    <w:qFormat/>
    <w:uiPriority w:val="1"/>
  </w:style>
  <w:style w:type="paragraph" w:customStyle="1" w:styleId="19">
    <w:name w:val="Table Paragraph"/>
    <w:basedOn w:val="1"/>
    <w:qFormat/>
    <w:uiPriority w:val="1"/>
  </w:style>
  <w:style w:type="paragraph" w:customStyle="1" w:styleId="20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1">
    <w:name w:val="页眉 字符"/>
    <w:basedOn w:val="12"/>
    <w:link w:val="8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2">
    <w:name w:val="页脚 字符"/>
    <w:basedOn w:val="12"/>
    <w:link w:val="7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3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4">
    <w:name w:val="lang1"/>
    <w:basedOn w:val="12"/>
    <w:qFormat/>
    <w:uiPriority w:val="0"/>
  </w:style>
  <w:style w:type="character" w:customStyle="1" w:styleId="25">
    <w:name w:val="layui-this"/>
    <w:basedOn w:val="12"/>
    <w:qFormat/>
    <w:uiPriority w:val="0"/>
    <w:rPr>
      <w:bdr w:val="single" w:color="EEEEEE" w:sz="6" w:space="0"/>
      <w:shd w:val="clear" w:color="auto" w:fill="FFFFFF"/>
    </w:rPr>
  </w:style>
  <w:style w:type="character" w:customStyle="1" w:styleId="26">
    <w:name w:val="lang0"/>
    <w:basedOn w:val="12"/>
    <w:qFormat/>
    <w:uiPriority w:val="0"/>
  </w:style>
  <w:style w:type="character" w:customStyle="1" w:styleId="27">
    <w:name w:val="first-child"/>
    <w:basedOn w:val="12"/>
    <w:qFormat/>
    <w:uiPriority w:val="0"/>
  </w:style>
  <w:style w:type="character" w:customStyle="1" w:styleId="28">
    <w:name w:val="批注框文本 字符"/>
    <w:basedOn w:val="12"/>
    <w:link w:val="6"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29">
    <w:name w:val="日期 字符"/>
    <w:basedOn w:val="12"/>
    <w:link w:val="5"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0">
    <w:name w:val="未处理的提及1"/>
    <w:basedOn w:val="12"/>
    <w:semiHidden/>
    <w:unhideWhenUsed/>
    <w:uiPriority w:val="99"/>
    <w:rPr>
      <w:color w:val="605E5C"/>
      <w:shd w:val="clear" w:color="auto" w:fill="E1DFDD"/>
    </w:rPr>
  </w:style>
  <w:style w:type="character" w:customStyle="1" w:styleId="31">
    <w:name w:val="Unresolved Mention"/>
    <w:basedOn w:val="1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59</Words>
  <Characters>341</Characters>
  <Lines>2</Lines>
  <Paragraphs>1</Paragraphs>
  <TotalTime>227</TotalTime>
  <ScaleCrop>false</ScaleCrop>
  <LinksUpToDate>false</LinksUpToDate>
  <CharactersWithSpaces>399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汐颜</cp:lastModifiedBy>
  <cp:lastPrinted>2020-11-13T03:29:00Z</cp:lastPrinted>
  <dcterms:modified xsi:type="dcterms:W3CDTF">2021-09-05T02:11:05Z</dcterms:modified>
  <cp:revision>135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