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outlineLvl w:val="0"/>
        <w:rPr>
          <w:rFonts w:ascii="黑体" w:hAnsi="黑体" w:eastAsia="黑体" w:cs="黑体"/>
          <w:sz w:val="32"/>
          <w:szCs w:val="32"/>
        </w:rPr>
      </w:pPr>
      <w:r>
        <w:rPr>
          <w:rFonts w:hint="eastAsia" w:ascii="黑体" w:hAnsi="黑体" w:eastAsia="黑体" w:cs="黑体"/>
          <w:sz w:val="32"/>
          <w:szCs w:val="32"/>
        </w:rPr>
        <w:t>附件2</w:t>
      </w:r>
    </w:p>
    <w:p>
      <w:pPr>
        <w:pStyle w:val="2"/>
      </w:pPr>
    </w:p>
    <w:p>
      <w:pPr>
        <w:jc w:val="center"/>
        <w:outlineLvl w:val="0"/>
        <w:rPr>
          <w:rFonts w:ascii="方正小标宋简体" w:hAnsi="黑体" w:eastAsia="方正小标宋简体" w:cs="黑体"/>
          <w:sz w:val="44"/>
          <w:szCs w:val="44"/>
        </w:rPr>
      </w:pPr>
      <w:bookmarkStart w:id="0" w:name="_GoBack"/>
      <w:r>
        <w:rPr>
          <w:rFonts w:hint="eastAsia" w:ascii="方正小标宋简体" w:hAnsi="黑体" w:eastAsia="方正小标宋简体" w:cs="黑体"/>
          <w:sz w:val="44"/>
          <w:szCs w:val="44"/>
        </w:rPr>
        <w:t>课题指南</w:t>
      </w:r>
    </w:p>
    <w:bookmarkEnd w:id="0"/>
    <w:p>
      <w:pPr>
        <w:pStyle w:val="2"/>
        <w:ind w:firstLine="640"/>
        <w:rPr>
          <w:rFonts w:ascii="Times New Roman" w:hAnsi="黑体" w:eastAsia="黑体" w:cs="仿宋_GB2312"/>
          <w:bCs/>
          <w:sz w:val="32"/>
          <w:szCs w:val="32"/>
        </w:rPr>
      </w:pPr>
    </w:p>
    <w:p>
      <w:pPr>
        <w:pStyle w:val="2"/>
        <w:ind w:firstLine="640"/>
        <w:rPr>
          <w:rFonts w:ascii="Times New Roman" w:hAnsi="黑体" w:eastAsia="黑体" w:cs="仿宋_GB2312"/>
          <w:bCs/>
          <w:sz w:val="32"/>
          <w:szCs w:val="32"/>
        </w:rPr>
      </w:pPr>
      <w:r>
        <w:rPr>
          <w:rFonts w:hint="eastAsia" w:ascii="Times New Roman" w:hAnsi="黑体" w:eastAsia="黑体" w:cs="仿宋_GB2312"/>
          <w:bCs/>
          <w:sz w:val="32"/>
          <w:szCs w:val="32"/>
        </w:rPr>
        <w:t>一、率先构建“国内国际双循环”新发展格局珠海路径研究</w:t>
      </w:r>
    </w:p>
    <w:p>
      <w:pPr>
        <w:pStyle w:val="2"/>
        <w:ind w:firstLine="640"/>
        <w:rPr>
          <w:rFonts w:ascii="Times New Roman" w:hAnsi="仿宋_GB2312" w:eastAsia="仿宋_GB2312" w:cs="仿宋_GB2312"/>
          <w:bCs/>
          <w:sz w:val="32"/>
          <w:szCs w:val="32"/>
        </w:rPr>
      </w:pPr>
      <w:r>
        <w:rPr>
          <w:rFonts w:hint="eastAsia" w:ascii="Times New Roman" w:hAnsi="仿宋_GB2312" w:eastAsia="仿宋_GB2312" w:cs="仿宋_GB2312"/>
          <w:bCs/>
          <w:sz w:val="32"/>
          <w:szCs w:val="32"/>
        </w:rPr>
        <w:t>研究内容：1、研究以珠海为核心城市的珠西都市圈</w:t>
      </w:r>
      <w:r>
        <w:rPr>
          <w:rFonts w:ascii="Times New Roman" w:hAnsi="仿宋_GB2312" w:eastAsia="仿宋_GB2312" w:cs="仿宋_GB2312"/>
          <w:bCs/>
          <w:sz w:val="32"/>
          <w:szCs w:val="32"/>
        </w:rPr>
        <w:t>在构建“双循环”新发展格局中的重要作用</w:t>
      </w:r>
      <w:r>
        <w:rPr>
          <w:rFonts w:hint="eastAsia" w:ascii="Times New Roman" w:hAnsi="仿宋_GB2312" w:eastAsia="仿宋_GB2312" w:cs="仿宋_GB2312"/>
          <w:bCs/>
          <w:sz w:val="32"/>
          <w:szCs w:val="32"/>
        </w:rPr>
        <w:t>；2、研究珠海在“双循环”中应有的特殊定位、特殊方位、特殊地位、特殊使命；3、从建立高标准要素市场体系、强化跨区域协调机制、联动港澳融入国家发展大局等方面提出对策建议。</w:t>
      </w:r>
    </w:p>
    <w:p>
      <w:pPr>
        <w:pStyle w:val="2"/>
        <w:ind w:firstLine="640"/>
        <w:rPr>
          <w:rFonts w:ascii="Times New Roman" w:hAnsi="Times New Roman" w:eastAsia="黑体" w:cs="仿宋_GB2312"/>
          <w:bCs/>
          <w:sz w:val="32"/>
          <w:szCs w:val="32"/>
        </w:rPr>
      </w:pPr>
      <w:r>
        <w:rPr>
          <w:rFonts w:hint="eastAsia" w:ascii="Times New Roman" w:hAnsi="黑体" w:eastAsia="黑体" w:cs="仿宋_GB2312"/>
          <w:bCs/>
          <w:sz w:val="32"/>
          <w:szCs w:val="32"/>
        </w:rPr>
        <w:t>二、珠海未来产业发展研究</w:t>
      </w:r>
    </w:p>
    <w:p>
      <w:pPr>
        <w:pStyle w:val="2"/>
        <w:ind w:firstLine="640"/>
        <w:rPr>
          <w:rFonts w:ascii="Times New Roman" w:hAnsi="仿宋_GB2312" w:eastAsia="仿宋_GB2312" w:cs="仿宋_GB2312"/>
          <w:bCs/>
          <w:sz w:val="32"/>
          <w:szCs w:val="32"/>
        </w:rPr>
      </w:pPr>
      <w:r>
        <w:rPr>
          <w:rFonts w:hint="eastAsia" w:ascii="Times New Roman" w:hAnsi="仿宋_GB2312" w:eastAsia="仿宋_GB2312" w:cs="仿宋_GB2312"/>
          <w:bCs/>
          <w:sz w:val="32"/>
          <w:szCs w:val="32"/>
        </w:rPr>
        <w:t>研究内容：</w:t>
      </w:r>
      <w:r>
        <w:rPr>
          <w:rFonts w:hint="eastAsia" w:ascii="Times New Roman" w:hAnsi="Times New Roman" w:eastAsia="仿宋_GB2312" w:cs="仿宋_GB2312"/>
          <w:bCs/>
          <w:sz w:val="32"/>
          <w:szCs w:val="32"/>
        </w:rPr>
        <w:t>1</w:t>
      </w:r>
      <w:r>
        <w:rPr>
          <w:rFonts w:hint="eastAsia" w:ascii="Times New Roman" w:hAnsi="仿宋_GB2312" w:eastAsia="仿宋_GB2312" w:cs="仿宋_GB2312"/>
          <w:bCs/>
          <w:sz w:val="32"/>
          <w:szCs w:val="32"/>
        </w:rPr>
        <w:t>、梳理总结中央、广东省、国内重要地市（北京、上海、深圳、苏州、合肥、西安、武汉、香港、台北等）以及国外（美国、德国、法国、日本等）关于未来产业的谋划；</w:t>
      </w:r>
      <w:r>
        <w:rPr>
          <w:rFonts w:hint="eastAsia" w:ascii="Times New Roman" w:hAnsi="Times New Roman" w:eastAsia="仿宋_GB2312" w:cs="仿宋_GB2312"/>
          <w:bCs/>
          <w:sz w:val="32"/>
          <w:szCs w:val="32"/>
        </w:rPr>
        <w:t>2</w:t>
      </w:r>
      <w:r>
        <w:rPr>
          <w:rFonts w:hint="eastAsia" w:ascii="Times New Roman" w:hAnsi="仿宋_GB2312" w:eastAsia="仿宋_GB2312" w:cs="仿宋_GB2312"/>
          <w:bCs/>
          <w:sz w:val="32"/>
          <w:szCs w:val="32"/>
        </w:rPr>
        <w:t>、研究珠海市未来产业发展基础、潜在发力点；</w:t>
      </w:r>
      <w:r>
        <w:rPr>
          <w:rFonts w:hint="eastAsia" w:ascii="Times New Roman" w:hAnsi="Times New Roman" w:eastAsia="仿宋_GB2312" w:cs="仿宋_GB2312"/>
          <w:bCs/>
          <w:sz w:val="32"/>
          <w:szCs w:val="32"/>
        </w:rPr>
        <w:t>3</w:t>
      </w:r>
      <w:r>
        <w:rPr>
          <w:rFonts w:hint="eastAsia" w:ascii="Times New Roman" w:hAnsi="仿宋_GB2312" w:eastAsia="仿宋_GB2312" w:cs="仿宋_GB2312"/>
          <w:bCs/>
          <w:sz w:val="32"/>
          <w:szCs w:val="32"/>
        </w:rPr>
        <w:t>、研究加快谋划布局未来产业需要解决的问题；</w:t>
      </w:r>
      <w:r>
        <w:rPr>
          <w:rFonts w:hint="eastAsia" w:ascii="Times New Roman" w:hAnsi="Times New Roman" w:eastAsia="仿宋_GB2312" w:cs="仿宋_GB2312"/>
          <w:bCs/>
          <w:sz w:val="32"/>
          <w:szCs w:val="32"/>
        </w:rPr>
        <w:t>4</w:t>
      </w:r>
      <w:r>
        <w:rPr>
          <w:rFonts w:hint="eastAsia" w:ascii="Times New Roman" w:hAnsi="仿宋_GB2312" w:eastAsia="仿宋_GB2312" w:cs="仿宋_GB2312"/>
          <w:bCs/>
          <w:sz w:val="32"/>
          <w:szCs w:val="32"/>
        </w:rPr>
        <w:t>、研究发展未来产业的总体思路、主攻方向、实施路径。</w:t>
      </w:r>
    </w:p>
    <w:p>
      <w:pPr>
        <w:pStyle w:val="2"/>
        <w:ind w:firstLine="640"/>
        <w:rPr>
          <w:rFonts w:ascii="Times New Roman" w:hAnsi="Times New Roman" w:eastAsia="黑体" w:cs="仿宋_GB2312"/>
          <w:bCs/>
          <w:sz w:val="32"/>
          <w:szCs w:val="32"/>
        </w:rPr>
      </w:pPr>
      <w:r>
        <w:rPr>
          <w:rFonts w:hint="eastAsia" w:ascii="Times New Roman" w:hAnsi="黑体" w:eastAsia="黑体" w:cs="仿宋_GB2312"/>
          <w:bCs/>
          <w:sz w:val="32"/>
          <w:szCs w:val="32"/>
        </w:rPr>
        <w:t>三、珠海经济技术开发区化工园区高质量发展研究</w:t>
      </w:r>
    </w:p>
    <w:p>
      <w:pPr>
        <w:pStyle w:val="2"/>
        <w:ind w:firstLine="64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研究内容：</w:t>
      </w:r>
      <w:r>
        <w:rPr>
          <w:rFonts w:hint="eastAsia" w:ascii="Times New Roman" w:hAnsi="Times New Roman" w:eastAsia="仿宋_GB2312"/>
          <w:bCs/>
          <w:sz w:val="32"/>
          <w:szCs w:val="32"/>
        </w:rPr>
        <w:t>1</w:t>
      </w:r>
      <w:r>
        <w:rPr>
          <w:rFonts w:hint="eastAsia" w:ascii="仿宋_GB2312" w:hAnsi="仿宋_GB2312" w:eastAsia="仿宋_GB2312" w:cs="仿宋_GB2312"/>
          <w:bCs/>
          <w:sz w:val="32"/>
          <w:szCs w:val="32"/>
        </w:rPr>
        <w:t>、比较分析全国化工园区详情及主要园区发展路径；</w:t>
      </w:r>
      <w:r>
        <w:rPr>
          <w:rFonts w:hint="eastAsia" w:ascii="Times New Roman" w:hAnsi="Times New Roman" w:eastAsia="仿宋_GB2312"/>
          <w:bCs/>
          <w:sz w:val="32"/>
          <w:szCs w:val="32"/>
        </w:rPr>
        <w:t>2</w:t>
      </w:r>
      <w:r>
        <w:rPr>
          <w:rFonts w:hint="eastAsia" w:ascii="仿宋_GB2312" w:hAnsi="仿宋_GB2312" w:eastAsia="仿宋_GB2312" w:cs="仿宋_GB2312"/>
          <w:bCs/>
          <w:sz w:val="32"/>
          <w:szCs w:val="32"/>
        </w:rPr>
        <w:t>、分析珠海化工园区在全国、全省的地位、优势、瓶颈及前景；</w:t>
      </w:r>
      <w:r>
        <w:rPr>
          <w:rFonts w:hint="eastAsia" w:ascii="Times New Roman" w:hAnsi="Times New Roman" w:eastAsia="仿宋_GB2312"/>
          <w:bCs/>
          <w:sz w:val="32"/>
          <w:szCs w:val="32"/>
        </w:rPr>
        <w:t>3</w:t>
      </w:r>
      <w:r>
        <w:rPr>
          <w:rFonts w:hint="eastAsia" w:ascii="仿宋_GB2312" w:hAnsi="仿宋_GB2312" w:eastAsia="仿宋_GB2312" w:cs="仿宋_GB2312"/>
          <w:bCs/>
          <w:sz w:val="32"/>
          <w:szCs w:val="32"/>
        </w:rPr>
        <w:t>、分析珠海化工园区在推动“制造业当家，产业第一”中扮演的角色及发展绿色精细化工的可行性；</w:t>
      </w:r>
      <w:r>
        <w:rPr>
          <w:rFonts w:hint="eastAsia" w:ascii="Times New Roman" w:hAnsi="Times New Roman" w:eastAsia="仿宋_GB2312"/>
          <w:bCs/>
          <w:sz w:val="32"/>
          <w:szCs w:val="32"/>
        </w:rPr>
        <w:t>4</w:t>
      </w:r>
      <w:r>
        <w:rPr>
          <w:rFonts w:hint="eastAsia" w:ascii="仿宋_GB2312" w:hAnsi="仿宋_GB2312" w:eastAsia="仿宋_GB2312" w:cs="仿宋_GB2312"/>
          <w:bCs/>
          <w:sz w:val="32"/>
          <w:szCs w:val="32"/>
        </w:rPr>
        <w:t>、研究珠海化工园区转型升级的方向及路径。</w:t>
      </w:r>
    </w:p>
    <w:p>
      <w:pPr>
        <w:pStyle w:val="2"/>
        <w:ind w:firstLine="640"/>
        <w:rPr>
          <w:rFonts w:ascii="Times New Roman" w:hAnsi="Times New Roman" w:eastAsia="黑体" w:cs="仿宋_GB2312"/>
          <w:bCs/>
          <w:sz w:val="32"/>
          <w:szCs w:val="32"/>
        </w:rPr>
      </w:pPr>
      <w:r>
        <w:rPr>
          <w:rFonts w:hint="eastAsia" w:ascii="Times New Roman" w:hAnsi="黑体" w:eastAsia="黑体" w:cs="仿宋_GB2312"/>
          <w:bCs/>
          <w:sz w:val="32"/>
          <w:szCs w:val="32"/>
        </w:rPr>
        <w:t>四、加快建设珠海市生产性服务业功能区研究</w:t>
      </w:r>
    </w:p>
    <w:p>
      <w:pPr>
        <w:pStyle w:val="2"/>
        <w:ind w:firstLine="640"/>
        <w:rPr>
          <w:rFonts w:ascii="Times New Roman" w:hAnsi="仿宋_GB2312" w:eastAsia="仿宋_GB2312" w:cs="仿宋_GB2312"/>
          <w:bCs/>
          <w:sz w:val="32"/>
          <w:szCs w:val="32"/>
        </w:rPr>
      </w:pPr>
      <w:r>
        <w:rPr>
          <w:rFonts w:hint="eastAsia" w:ascii="Times New Roman" w:hAnsi="仿宋_GB2312" w:eastAsia="仿宋_GB2312" w:cs="仿宋_GB2312"/>
          <w:bCs/>
          <w:sz w:val="32"/>
          <w:szCs w:val="32"/>
        </w:rPr>
        <w:t>研究内容：1、研究珠海加快建设生产性服务业功能区的重要意义，产业结构升级形势、发展现状及存在的主要问题；2、比较分析国际国内先进城市在建设生产性服务业功能区上的主要做法和经验借鉴；3、根据大湾区制造业高端化、智能化的发展方向，结合珠海资源禀赋，提出加快建设珠海市生产性服务业功能区的分类、选址、定位、目标、路径等方面的对策建议，并提供相关建设指引。</w:t>
      </w:r>
    </w:p>
    <w:p>
      <w:pPr>
        <w:pStyle w:val="2"/>
        <w:ind w:firstLine="640"/>
        <w:rPr>
          <w:rFonts w:ascii="Times New Roman" w:hAnsi="Times New Roman" w:eastAsia="黑体" w:cs="仿宋_GB2312"/>
          <w:bCs/>
          <w:sz w:val="32"/>
          <w:szCs w:val="32"/>
        </w:rPr>
      </w:pPr>
      <w:r>
        <w:rPr>
          <w:rFonts w:hint="eastAsia" w:ascii="Times New Roman" w:hAnsi="黑体" w:eastAsia="黑体" w:cs="仿宋_GB2312"/>
          <w:bCs/>
          <w:sz w:val="32"/>
          <w:szCs w:val="32"/>
        </w:rPr>
        <w:t>五、珠海打造新型农业经营体系改革的研究</w:t>
      </w:r>
    </w:p>
    <w:p>
      <w:pPr>
        <w:pStyle w:val="2"/>
        <w:ind w:firstLine="640"/>
        <w:rPr>
          <w:rFonts w:ascii="Times New Roman" w:hAnsi="仿宋_GB2312" w:eastAsia="仿宋_GB2312" w:cs="仿宋_GB2312"/>
          <w:bCs/>
          <w:sz w:val="32"/>
          <w:szCs w:val="32"/>
        </w:rPr>
      </w:pPr>
      <w:r>
        <w:rPr>
          <w:rFonts w:hint="eastAsia" w:ascii="Times New Roman" w:hAnsi="仿宋_GB2312" w:eastAsia="仿宋_GB2312" w:cs="仿宋_GB2312"/>
          <w:bCs/>
          <w:sz w:val="32"/>
          <w:szCs w:val="32"/>
        </w:rPr>
        <w:t>研究内容：1、梳理珠海市农业经营体系基本情况；2、分析当前存在的问题、困难；3、总结国内外先进地区经验；4、研究珠海打造新型农业经营体系改革市域样板的工作思路、工作举措、实施路径（包括但不限于培育新型经营主体、构建农业社会服务体系、完善与农民的利益联结机制等）。</w:t>
      </w:r>
    </w:p>
    <w:p>
      <w:pPr>
        <w:ind w:firstLine="640" w:firstLineChars="200"/>
        <w:rPr>
          <w:rFonts w:ascii="Times New Roman" w:hAnsi="Times New Roman" w:eastAsia="黑体"/>
          <w:sz w:val="32"/>
          <w:szCs w:val="32"/>
        </w:rPr>
      </w:pPr>
      <w:r>
        <w:rPr>
          <w:rFonts w:hint="eastAsia" w:ascii="Times New Roman" w:hAnsi="黑体" w:eastAsia="黑体"/>
          <w:sz w:val="32"/>
          <w:szCs w:val="32"/>
        </w:rPr>
        <w:t>六、珠海数字便民服务提升对策研究</w:t>
      </w:r>
    </w:p>
    <w:p>
      <w:pPr>
        <w:pStyle w:val="2"/>
        <w:ind w:firstLine="640"/>
        <w:rPr>
          <w:rFonts w:ascii="Times New Roman" w:hAnsi="仿宋_GB2312" w:eastAsia="仿宋_GB2312" w:cs="仿宋_GB2312"/>
          <w:bCs/>
          <w:sz w:val="32"/>
          <w:szCs w:val="32"/>
        </w:rPr>
      </w:pPr>
      <w:r>
        <w:rPr>
          <w:rFonts w:hint="eastAsia" w:ascii="Times New Roman" w:hAnsi="仿宋_GB2312" w:eastAsia="仿宋_GB2312" w:cs="仿宋_GB2312"/>
          <w:bCs/>
          <w:sz w:val="32"/>
          <w:szCs w:val="32"/>
        </w:rPr>
        <w:t>研究内容：1、围绕市民群众通过数字化手段享受政府服务便利、反映诉求等方面的实际需求，分析珠海数字便民服务存在的主要问题；2、针对当前我市各级民生服务平台运行状况作出评估；3、聚焦打通民生数字壁垒，从体制机制、部门协调、技术整合等方面提出政策建议，提升民生诉求一体化平台的数字化、智能化水平。</w:t>
      </w:r>
    </w:p>
    <w:p>
      <w:pPr>
        <w:ind w:firstLine="640" w:firstLineChars="200"/>
        <w:rPr>
          <w:rFonts w:ascii="Times New Roman" w:hAnsi="Times New Roman" w:eastAsia="黑体"/>
          <w:sz w:val="32"/>
          <w:szCs w:val="32"/>
        </w:rPr>
      </w:pPr>
      <w:r>
        <w:rPr>
          <w:rFonts w:hint="eastAsia" w:ascii="Times New Roman" w:hAnsi="黑体" w:eastAsia="黑体"/>
          <w:sz w:val="32"/>
          <w:szCs w:val="32"/>
        </w:rPr>
        <w:t>七、珠海加快数字文化产业发展研究</w:t>
      </w:r>
    </w:p>
    <w:p>
      <w:pPr>
        <w:pStyle w:val="2"/>
        <w:ind w:firstLine="640"/>
        <w:rPr>
          <w:rFonts w:ascii="Times New Roman" w:hAnsi="Times New Roman" w:eastAsia="仿宋_GB2312" w:cs="仿宋_GB2312"/>
          <w:bCs/>
          <w:sz w:val="32"/>
          <w:szCs w:val="32"/>
        </w:rPr>
      </w:pPr>
      <w:r>
        <w:rPr>
          <w:rFonts w:hint="eastAsia" w:ascii="Times New Roman" w:hAnsi="仿宋_GB2312" w:eastAsia="仿宋_GB2312" w:cs="仿宋_GB2312"/>
          <w:bCs/>
          <w:sz w:val="32"/>
          <w:szCs w:val="32"/>
        </w:rPr>
        <w:t>研究内容：</w:t>
      </w:r>
      <w:r>
        <w:rPr>
          <w:rFonts w:hint="eastAsia" w:ascii="Times New Roman" w:hAnsi="Times New Roman" w:eastAsia="仿宋_GB2312"/>
          <w:bCs/>
          <w:sz w:val="32"/>
          <w:szCs w:val="32"/>
        </w:rPr>
        <w:t>1</w:t>
      </w:r>
      <w:r>
        <w:rPr>
          <w:rFonts w:hint="eastAsia" w:ascii="Times New Roman" w:hAnsi="仿宋_GB2312" w:eastAsia="仿宋_GB2312" w:cs="仿宋_GB2312"/>
          <w:bCs/>
          <w:sz w:val="32"/>
          <w:szCs w:val="32"/>
        </w:rPr>
        <w:t>、分析珠海数字文化产业发展的现状；</w:t>
      </w:r>
      <w:r>
        <w:rPr>
          <w:rFonts w:hint="eastAsia" w:ascii="Times New Roman" w:hAnsi="Times New Roman" w:eastAsia="仿宋_GB2312"/>
          <w:bCs/>
          <w:sz w:val="32"/>
          <w:szCs w:val="32"/>
        </w:rPr>
        <w:t>2</w:t>
      </w:r>
      <w:r>
        <w:rPr>
          <w:rFonts w:hint="eastAsia" w:ascii="Times New Roman" w:hAnsi="仿宋_GB2312" w:eastAsia="仿宋_GB2312" w:cs="仿宋_GB2312"/>
          <w:bCs/>
          <w:sz w:val="32"/>
          <w:szCs w:val="32"/>
        </w:rPr>
        <w:t>、研究珠海数字文化产业发展存在的主要问题；</w:t>
      </w:r>
      <w:r>
        <w:rPr>
          <w:rFonts w:hint="eastAsia" w:ascii="Times New Roman" w:hAnsi="Times New Roman" w:eastAsia="仿宋_GB2312"/>
          <w:bCs/>
          <w:sz w:val="32"/>
          <w:szCs w:val="32"/>
        </w:rPr>
        <w:t>3</w:t>
      </w:r>
      <w:r>
        <w:rPr>
          <w:rFonts w:hint="eastAsia" w:ascii="Times New Roman" w:hAnsi="仿宋_GB2312" w:eastAsia="仿宋_GB2312" w:cs="仿宋_GB2312"/>
          <w:bCs/>
          <w:sz w:val="32"/>
          <w:szCs w:val="32"/>
        </w:rPr>
        <w:t>、总结国内外先进地区数字文化产业发展的经验；</w:t>
      </w:r>
      <w:r>
        <w:rPr>
          <w:rFonts w:hint="eastAsia" w:ascii="Times New Roman" w:hAnsi="Times New Roman" w:eastAsia="仿宋_GB2312"/>
          <w:bCs/>
          <w:sz w:val="32"/>
          <w:szCs w:val="32"/>
        </w:rPr>
        <w:t>4</w:t>
      </w:r>
      <w:r>
        <w:rPr>
          <w:rFonts w:hint="eastAsia" w:ascii="Times New Roman" w:hAnsi="仿宋_GB2312" w:eastAsia="仿宋_GB2312" w:cs="仿宋_GB2312"/>
          <w:bCs/>
          <w:sz w:val="32"/>
          <w:szCs w:val="32"/>
        </w:rPr>
        <w:t>、提出推动珠海数字文化产业发展的路径和举措。</w:t>
      </w:r>
    </w:p>
    <w:p>
      <w:pPr>
        <w:ind w:firstLine="640" w:firstLineChars="200"/>
        <w:rPr>
          <w:rFonts w:ascii="Times New Roman" w:hAnsi="Times New Roman" w:eastAsia="黑体"/>
          <w:sz w:val="32"/>
          <w:szCs w:val="32"/>
        </w:rPr>
      </w:pPr>
      <w:r>
        <w:rPr>
          <w:rFonts w:hint="eastAsia" w:ascii="Times New Roman" w:hAnsi="黑体" w:eastAsia="黑体"/>
          <w:sz w:val="32"/>
          <w:szCs w:val="32"/>
        </w:rPr>
        <w:t>八、突出港产城融合推动西部城区高质量发展研究</w:t>
      </w:r>
    </w:p>
    <w:p>
      <w:pPr>
        <w:pStyle w:val="2"/>
        <w:ind w:firstLine="640"/>
        <w:rPr>
          <w:rFonts w:ascii="Times New Roman" w:hAnsi="Times New Roman" w:eastAsia="仿宋_GB2312" w:cs="仿宋_GB2312"/>
          <w:bCs/>
          <w:sz w:val="32"/>
          <w:szCs w:val="32"/>
        </w:rPr>
      </w:pPr>
      <w:r>
        <w:rPr>
          <w:rFonts w:hint="eastAsia" w:ascii="Times New Roman" w:hAnsi="仿宋_GB2312" w:eastAsia="仿宋_GB2312" w:cs="仿宋_GB2312"/>
          <w:bCs/>
          <w:sz w:val="32"/>
          <w:szCs w:val="32"/>
        </w:rPr>
        <w:t>研究内容：</w:t>
      </w:r>
      <w:r>
        <w:rPr>
          <w:rFonts w:hint="eastAsia" w:ascii="Times New Roman" w:hAnsi="Times New Roman" w:eastAsia="仿宋_GB2312"/>
          <w:bCs/>
          <w:sz w:val="32"/>
          <w:szCs w:val="32"/>
        </w:rPr>
        <w:t>1</w:t>
      </w:r>
      <w:r>
        <w:rPr>
          <w:rFonts w:hint="eastAsia" w:ascii="Times New Roman" w:hAnsi="仿宋_GB2312" w:eastAsia="仿宋_GB2312" w:cs="仿宋_GB2312"/>
          <w:bCs/>
          <w:sz w:val="32"/>
          <w:szCs w:val="32"/>
        </w:rPr>
        <w:t>、开展我市西部城区发展现状评估（与国内</w:t>
      </w:r>
      <w:r>
        <w:rPr>
          <w:rFonts w:hint="eastAsia" w:ascii="Times New Roman" w:hAnsi="Times New Roman" w:eastAsia="仿宋_GB2312"/>
          <w:bCs/>
          <w:sz w:val="32"/>
          <w:szCs w:val="32"/>
        </w:rPr>
        <w:t>1</w:t>
      </w:r>
      <w:r>
        <w:rPr>
          <w:rFonts w:hint="eastAsia" w:ascii="Times New Roman" w:hAnsi="Times New Roman" w:eastAsia="仿宋_GB2312" w:cs="仿宋_GB2312"/>
          <w:bCs/>
          <w:sz w:val="32"/>
          <w:szCs w:val="32"/>
        </w:rPr>
        <w:t>-</w:t>
      </w:r>
      <w:r>
        <w:rPr>
          <w:rFonts w:hint="eastAsia" w:ascii="Times New Roman" w:hAnsi="Times New Roman" w:eastAsia="仿宋_GB2312"/>
          <w:bCs/>
          <w:sz w:val="32"/>
          <w:szCs w:val="32"/>
        </w:rPr>
        <w:t>2</w:t>
      </w:r>
      <w:r>
        <w:rPr>
          <w:rFonts w:hint="eastAsia" w:ascii="Times New Roman" w:hAnsi="仿宋_GB2312" w:eastAsia="仿宋_GB2312" w:cs="仿宋_GB2312"/>
          <w:bCs/>
          <w:sz w:val="32"/>
          <w:szCs w:val="32"/>
        </w:rPr>
        <w:t>个先进城市发展历史进程的比对说明）、发展趋势研判；</w:t>
      </w:r>
      <w:r>
        <w:rPr>
          <w:rFonts w:hint="eastAsia" w:ascii="Times New Roman" w:hAnsi="Times New Roman" w:eastAsia="仿宋_GB2312"/>
          <w:bCs/>
          <w:sz w:val="32"/>
          <w:szCs w:val="32"/>
        </w:rPr>
        <w:t>2</w:t>
      </w:r>
      <w:r>
        <w:rPr>
          <w:rFonts w:hint="eastAsia" w:ascii="Times New Roman" w:hAnsi="仿宋_GB2312" w:eastAsia="仿宋_GB2312" w:cs="仿宋_GB2312"/>
          <w:bCs/>
          <w:sz w:val="32"/>
          <w:szCs w:val="32"/>
        </w:rPr>
        <w:t>、分析我市西部城区港产城融合存在问题（</w:t>
      </w:r>
      <w:r>
        <w:rPr>
          <w:rFonts w:hint="eastAsia" w:ascii="Times New Roman" w:hAnsi="Times New Roman" w:eastAsia="仿宋_GB2312" w:cs="仿宋_GB2312"/>
          <w:bCs/>
          <w:sz w:val="32"/>
          <w:szCs w:val="32"/>
        </w:rPr>
        <w:t>“</w:t>
      </w:r>
      <w:r>
        <w:rPr>
          <w:rFonts w:hint="eastAsia" w:ascii="Times New Roman" w:hAnsi="仿宋_GB2312" w:eastAsia="仿宋_GB2312" w:cs="仿宋_GB2312"/>
          <w:bCs/>
          <w:sz w:val="32"/>
          <w:szCs w:val="32"/>
        </w:rPr>
        <w:t>港</w:t>
      </w:r>
      <w:r>
        <w:rPr>
          <w:rFonts w:hint="eastAsia" w:ascii="Times New Roman" w:hAnsi="Times New Roman" w:eastAsia="仿宋_GB2312" w:cs="仿宋_GB2312"/>
          <w:bCs/>
          <w:sz w:val="32"/>
          <w:szCs w:val="32"/>
        </w:rPr>
        <w:t>”</w:t>
      </w:r>
      <w:r>
        <w:rPr>
          <w:rFonts w:hint="eastAsia" w:ascii="Times New Roman" w:hAnsi="仿宋_GB2312" w:eastAsia="仿宋_GB2312" w:cs="仿宋_GB2312"/>
          <w:bCs/>
          <w:sz w:val="32"/>
          <w:szCs w:val="32"/>
        </w:rPr>
        <w:t>包括海港、空港、陆港三港）；</w:t>
      </w:r>
      <w:r>
        <w:rPr>
          <w:rFonts w:hint="eastAsia" w:ascii="Times New Roman" w:hAnsi="Times New Roman" w:eastAsia="仿宋_GB2312"/>
          <w:bCs/>
          <w:sz w:val="32"/>
          <w:szCs w:val="32"/>
        </w:rPr>
        <w:t>3</w:t>
      </w:r>
      <w:r>
        <w:rPr>
          <w:rFonts w:hint="eastAsia" w:ascii="Times New Roman" w:hAnsi="仿宋_GB2312" w:eastAsia="仿宋_GB2312" w:cs="仿宋_GB2312"/>
          <w:bCs/>
          <w:sz w:val="32"/>
          <w:szCs w:val="32"/>
        </w:rPr>
        <w:t>、比较分析国内外先进城市建新城、促进港产城融合的成功案例；</w:t>
      </w:r>
      <w:r>
        <w:rPr>
          <w:rFonts w:hint="eastAsia" w:ascii="Times New Roman" w:hAnsi="Times New Roman" w:eastAsia="仿宋_GB2312"/>
          <w:bCs/>
          <w:sz w:val="32"/>
          <w:szCs w:val="32"/>
        </w:rPr>
        <w:t>4</w:t>
      </w:r>
      <w:r>
        <w:rPr>
          <w:rFonts w:hint="eastAsia" w:ascii="Times New Roman" w:hAnsi="仿宋_GB2312" w:eastAsia="仿宋_GB2312" w:cs="仿宋_GB2312"/>
          <w:bCs/>
          <w:sz w:val="32"/>
          <w:szCs w:val="32"/>
        </w:rPr>
        <w:t>、提出加快西部城区港产城融合发展的思路、理念、对策建议。</w:t>
      </w:r>
    </w:p>
    <w:p>
      <w:pPr>
        <w:ind w:firstLine="640" w:firstLineChars="200"/>
        <w:rPr>
          <w:rFonts w:ascii="Times New Roman" w:hAnsi="Times New Roman" w:eastAsia="黑体"/>
          <w:sz w:val="32"/>
          <w:szCs w:val="32"/>
        </w:rPr>
      </w:pPr>
      <w:r>
        <w:rPr>
          <w:rFonts w:hint="eastAsia" w:ascii="Times New Roman" w:hAnsi="黑体" w:eastAsia="黑体"/>
          <w:sz w:val="32"/>
          <w:szCs w:val="32"/>
        </w:rPr>
        <w:t>九、珠海市打造广东金融</w:t>
      </w:r>
      <w:r>
        <w:rPr>
          <w:rFonts w:hint="eastAsia" w:ascii="Times New Roman" w:hAnsi="Times New Roman" w:eastAsia="黑体"/>
          <w:sz w:val="32"/>
          <w:szCs w:val="32"/>
        </w:rPr>
        <w:t>“</w:t>
      </w:r>
      <w:r>
        <w:rPr>
          <w:rFonts w:hint="eastAsia" w:ascii="Times New Roman" w:hAnsi="黑体" w:eastAsia="黑体"/>
          <w:sz w:val="32"/>
          <w:szCs w:val="32"/>
        </w:rPr>
        <w:t>第三极</w:t>
      </w:r>
      <w:r>
        <w:rPr>
          <w:rFonts w:hint="eastAsia" w:ascii="Times New Roman" w:hAnsi="Times New Roman" w:eastAsia="黑体"/>
          <w:sz w:val="32"/>
          <w:szCs w:val="32"/>
        </w:rPr>
        <w:t>”</w:t>
      </w:r>
      <w:r>
        <w:rPr>
          <w:rFonts w:hint="eastAsia" w:ascii="Times New Roman" w:hAnsi="黑体" w:eastAsia="黑体"/>
          <w:sz w:val="32"/>
          <w:szCs w:val="32"/>
        </w:rPr>
        <w:t>研究</w:t>
      </w:r>
    </w:p>
    <w:p>
      <w:pPr>
        <w:pStyle w:val="2"/>
        <w:ind w:firstLine="640"/>
        <w:rPr>
          <w:rFonts w:ascii="Times New Roman" w:hAnsi="Times New Roman" w:eastAsia="仿宋_GB2312"/>
          <w:bCs/>
          <w:sz w:val="32"/>
          <w:szCs w:val="32"/>
        </w:rPr>
      </w:pPr>
      <w:r>
        <w:rPr>
          <w:rFonts w:ascii="Times New Roman" w:hAnsi="Times New Roman" w:eastAsia="仿宋_GB2312"/>
          <w:bCs/>
          <w:sz w:val="32"/>
          <w:szCs w:val="32"/>
        </w:rPr>
        <w:t>研究内容：</w:t>
      </w:r>
      <w:r>
        <w:rPr>
          <w:rFonts w:hint="eastAsia" w:ascii="Times New Roman" w:hAnsi="Times New Roman" w:eastAsia="仿宋_GB2312"/>
          <w:bCs/>
          <w:sz w:val="32"/>
          <w:szCs w:val="32"/>
        </w:rPr>
        <w:t>1、</w:t>
      </w:r>
      <w:r>
        <w:rPr>
          <w:rFonts w:ascii="Times New Roman" w:hAnsi="Times New Roman" w:eastAsia="仿宋_GB2312"/>
          <w:bCs/>
          <w:sz w:val="32"/>
          <w:szCs w:val="32"/>
        </w:rPr>
        <w:t>分析广州、深圳金融极点优势、长板；</w:t>
      </w:r>
      <w:r>
        <w:rPr>
          <w:rFonts w:hint="eastAsia" w:ascii="Times New Roman" w:hAnsi="Times New Roman" w:eastAsia="仿宋_GB2312"/>
          <w:bCs/>
          <w:sz w:val="32"/>
          <w:szCs w:val="32"/>
        </w:rPr>
        <w:t>2、研究</w:t>
      </w:r>
      <w:r>
        <w:rPr>
          <w:rFonts w:ascii="Times New Roman" w:hAnsi="Times New Roman" w:eastAsia="仿宋_GB2312"/>
          <w:bCs/>
          <w:sz w:val="32"/>
          <w:szCs w:val="32"/>
        </w:rPr>
        <w:t>金融</w:t>
      </w:r>
      <w:r>
        <w:rPr>
          <w:rFonts w:hint="eastAsia" w:ascii="Times New Roman" w:hAnsi="Times New Roman" w:eastAsia="仿宋_GB2312"/>
          <w:bCs/>
          <w:sz w:val="32"/>
          <w:szCs w:val="32"/>
        </w:rPr>
        <w:t>“</w:t>
      </w:r>
      <w:r>
        <w:rPr>
          <w:rFonts w:ascii="Times New Roman" w:hAnsi="Times New Roman" w:eastAsia="仿宋_GB2312"/>
          <w:bCs/>
          <w:sz w:val="32"/>
          <w:szCs w:val="32"/>
        </w:rPr>
        <w:t>第三极</w:t>
      </w:r>
      <w:r>
        <w:rPr>
          <w:rFonts w:hint="eastAsia" w:ascii="Times New Roman" w:hAnsi="Times New Roman" w:eastAsia="仿宋_GB2312"/>
          <w:bCs/>
          <w:sz w:val="32"/>
          <w:szCs w:val="32"/>
        </w:rPr>
        <w:t>”</w:t>
      </w:r>
      <w:r>
        <w:rPr>
          <w:rFonts w:ascii="Times New Roman" w:hAnsi="Times New Roman" w:eastAsia="仿宋_GB2312"/>
          <w:bCs/>
          <w:sz w:val="32"/>
          <w:szCs w:val="32"/>
        </w:rPr>
        <w:t>如何在广深金融业成熟优势下精准定位；</w:t>
      </w:r>
      <w:r>
        <w:rPr>
          <w:rFonts w:hint="eastAsia" w:ascii="Times New Roman" w:hAnsi="Times New Roman" w:eastAsia="仿宋_GB2312"/>
          <w:bCs/>
          <w:sz w:val="32"/>
          <w:szCs w:val="32"/>
        </w:rPr>
        <w:t>3、研究</w:t>
      </w:r>
      <w:r>
        <w:rPr>
          <w:rFonts w:ascii="Times New Roman" w:hAnsi="Times New Roman" w:eastAsia="仿宋_GB2312"/>
          <w:bCs/>
          <w:sz w:val="32"/>
          <w:szCs w:val="32"/>
        </w:rPr>
        <w:t>珠海如何服务实体经济的发展</w:t>
      </w:r>
      <w:r>
        <w:rPr>
          <w:rFonts w:hint="eastAsia" w:ascii="Times New Roman" w:hAnsi="Times New Roman" w:eastAsia="仿宋_GB2312"/>
          <w:bCs/>
          <w:sz w:val="32"/>
          <w:szCs w:val="32"/>
        </w:rPr>
        <w:t>、破除流动性陷阱</w:t>
      </w:r>
      <w:r>
        <w:rPr>
          <w:rFonts w:ascii="Times New Roman" w:hAnsi="Times New Roman" w:eastAsia="仿宋_GB2312"/>
          <w:bCs/>
          <w:sz w:val="32"/>
          <w:szCs w:val="32"/>
        </w:rPr>
        <w:t>，如何联动澳门、横琴，发挥各自优势；</w:t>
      </w:r>
      <w:r>
        <w:rPr>
          <w:rFonts w:hint="eastAsia" w:ascii="Times New Roman" w:hAnsi="Times New Roman" w:eastAsia="仿宋_GB2312"/>
          <w:bCs/>
          <w:sz w:val="32"/>
          <w:szCs w:val="32"/>
        </w:rPr>
        <w:t>4研究</w:t>
      </w:r>
      <w:r>
        <w:rPr>
          <w:rFonts w:ascii="Times New Roman" w:hAnsi="Times New Roman" w:eastAsia="仿宋_GB2312"/>
          <w:bCs/>
          <w:sz w:val="32"/>
          <w:szCs w:val="32"/>
        </w:rPr>
        <w:t>如何统筹发展跨境金融、科技金融、金融科技、海洋金融、碳汇市场等一系列前沿领域</w:t>
      </w:r>
      <w:r>
        <w:rPr>
          <w:rFonts w:hint="eastAsia" w:ascii="Times New Roman" w:hAnsi="Times New Roman" w:eastAsia="仿宋_GB2312"/>
          <w:bCs/>
          <w:sz w:val="32"/>
          <w:szCs w:val="32"/>
        </w:rPr>
        <w:t>。</w:t>
      </w:r>
    </w:p>
    <w:p>
      <w:pPr>
        <w:pStyle w:val="2"/>
        <w:ind w:firstLine="640"/>
        <w:rPr>
          <w:rFonts w:ascii="Times New Roman" w:hAnsi="Times New Roman" w:eastAsia="黑体" w:cs="仿宋_GB2312"/>
          <w:bCs/>
          <w:sz w:val="32"/>
          <w:szCs w:val="32"/>
        </w:rPr>
      </w:pPr>
      <w:r>
        <w:rPr>
          <w:rFonts w:hint="eastAsia" w:ascii="Times New Roman" w:hAnsi="黑体" w:eastAsia="黑体" w:cs="仿宋_GB2312"/>
          <w:bCs/>
          <w:sz w:val="32"/>
          <w:szCs w:val="32"/>
        </w:rPr>
        <w:t>十、珠海打造现代化海洋渔业标杆城市研究</w:t>
      </w:r>
    </w:p>
    <w:p>
      <w:pPr>
        <w:pStyle w:val="2"/>
        <w:ind w:firstLine="640"/>
        <w:rPr>
          <w:rFonts w:ascii="Times New Roman" w:hAnsi="Times New Roman" w:eastAsia="仿宋_GB2312" w:cs="仿宋_GB2312"/>
          <w:bCs/>
          <w:sz w:val="32"/>
          <w:szCs w:val="32"/>
        </w:rPr>
      </w:pPr>
      <w:r>
        <w:rPr>
          <w:rFonts w:hint="eastAsia" w:ascii="Times New Roman" w:hAnsi="仿宋_GB2312" w:eastAsia="仿宋_GB2312" w:cs="仿宋_GB2312"/>
          <w:bCs/>
          <w:sz w:val="32"/>
          <w:szCs w:val="32"/>
        </w:rPr>
        <w:t>研究内容：</w:t>
      </w:r>
      <w:r>
        <w:rPr>
          <w:rFonts w:hint="eastAsia" w:ascii="Times New Roman" w:hAnsi="Times New Roman" w:eastAsia="仿宋_GB2312"/>
          <w:bCs/>
          <w:sz w:val="32"/>
          <w:szCs w:val="32"/>
        </w:rPr>
        <w:t>1</w:t>
      </w:r>
      <w:r>
        <w:rPr>
          <w:rFonts w:hint="eastAsia" w:ascii="Times New Roman" w:hAnsi="仿宋_GB2312" w:eastAsia="仿宋_GB2312" w:cs="仿宋_GB2312"/>
          <w:bCs/>
          <w:sz w:val="32"/>
          <w:szCs w:val="32"/>
        </w:rPr>
        <w:t>、梳理全球现代海洋渔业产业链、价值链分布总体情况；</w:t>
      </w:r>
      <w:r>
        <w:rPr>
          <w:rFonts w:hint="eastAsia" w:ascii="Times New Roman" w:hAnsi="Times New Roman" w:eastAsia="仿宋_GB2312"/>
          <w:bCs/>
          <w:sz w:val="32"/>
          <w:szCs w:val="32"/>
        </w:rPr>
        <w:t>2</w:t>
      </w:r>
      <w:r>
        <w:rPr>
          <w:rFonts w:hint="eastAsia" w:ascii="Times New Roman" w:hAnsi="仿宋_GB2312" w:eastAsia="仿宋_GB2312" w:cs="仿宋_GB2312"/>
          <w:bCs/>
          <w:sz w:val="32"/>
          <w:szCs w:val="32"/>
        </w:rPr>
        <w:t>、分析我国、广东现代海洋渔业产业在全球产业链和价值链上的地位；</w:t>
      </w:r>
      <w:r>
        <w:rPr>
          <w:rFonts w:hint="eastAsia" w:ascii="Times New Roman" w:hAnsi="Times New Roman" w:eastAsia="仿宋_GB2312"/>
          <w:bCs/>
          <w:sz w:val="32"/>
          <w:szCs w:val="32"/>
        </w:rPr>
        <w:t>3</w:t>
      </w:r>
      <w:r>
        <w:rPr>
          <w:rFonts w:hint="eastAsia" w:ascii="Times New Roman" w:hAnsi="仿宋_GB2312" w:eastAsia="仿宋_GB2312" w:cs="仿宋_GB2312"/>
          <w:bCs/>
          <w:sz w:val="32"/>
          <w:szCs w:val="32"/>
        </w:rPr>
        <w:t>、研究珠海加快现代海洋渔业产业集群化发展的现状、与世界先进地区的比较分析和主攻方向的选择；</w:t>
      </w:r>
      <w:r>
        <w:rPr>
          <w:rFonts w:hint="eastAsia" w:ascii="Times New Roman" w:hAnsi="Times New Roman" w:eastAsia="仿宋_GB2312"/>
          <w:bCs/>
          <w:sz w:val="32"/>
          <w:szCs w:val="32"/>
        </w:rPr>
        <w:t>4</w:t>
      </w:r>
      <w:r>
        <w:rPr>
          <w:rFonts w:hint="eastAsia" w:ascii="Times New Roman" w:hAnsi="仿宋_GB2312" w:eastAsia="仿宋_GB2312" w:cs="仿宋_GB2312"/>
          <w:bCs/>
          <w:sz w:val="32"/>
          <w:szCs w:val="32"/>
        </w:rPr>
        <w:t>、提出政策建议。</w:t>
      </w:r>
    </w:p>
    <w:sectPr>
      <w:footerReference r:id="rId3"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28"/>
        <w:szCs w:val="28"/>
      </w:rPr>
      <w:id w:val="11733678"/>
    </w:sdtPr>
    <w:sdtEndPr>
      <w:rPr>
        <w:rFonts w:asciiTheme="minorEastAsia" w:hAnsiTheme="minorEastAsia" w:eastAsiaTheme="minorEastAsia"/>
        <w:sz w:val="28"/>
        <w:szCs w:val="28"/>
      </w:rPr>
    </w:sdtEndPr>
    <w:sdtContent>
      <w:p>
        <w:pPr>
          <w:pStyle w:val="4"/>
          <w:jc w:val="center"/>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1</w:t>
        </w:r>
        <w:r>
          <w:rPr>
            <w:rFonts w:asciiTheme="minorEastAsia" w:hAnsiTheme="minorEastAsia" w:eastAsiaTheme="minorEastAsia"/>
            <w:sz w:val="28"/>
            <w:szCs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iOWU5MzZiZDQyYzE1NmI0N2MzNTE5YWJlNzk1OWIifQ=="/>
  </w:docVars>
  <w:rsids>
    <w:rsidRoot w:val="7DE3AE86"/>
    <w:rsid w:val="000936E8"/>
    <w:rsid w:val="000C0FB1"/>
    <w:rsid w:val="00145CB7"/>
    <w:rsid w:val="0015386D"/>
    <w:rsid w:val="001E3B92"/>
    <w:rsid w:val="002A02E6"/>
    <w:rsid w:val="003771EB"/>
    <w:rsid w:val="003906B1"/>
    <w:rsid w:val="0042139A"/>
    <w:rsid w:val="00421D00"/>
    <w:rsid w:val="00424DD5"/>
    <w:rsid w:val="00450E98"/>
    <w:rsid w:val="004811B3"/>
    <w:rsid w:val="004A194B"/>
    <w:rsid w:val="00520141"/>
    <w:rsid w:val="005244CD"/>
    <w:rsid w:val="005972D1"/>
    <w:rsid w:val="005E4DD5"/>
    <w:rsid w:val="0061399A"/>
    <w:rsid w:val="006B3620"/>
    <w:rsid w:val="007513E2"/>
    <w:rsid w:val="007B2EEA"/>
    <w:rsid w:val="007C7E30"/>
    <w:rsid w:val="007D0F50"/>
    <w:rsid w:val="007D38C1"/>
    <w:rsid w:val="00831206"/>
    <w:rsid w:val="00873542"/>
    <w:rsid w:val="0088479F"/>
    <w:rsid w:val="00884EF8"/>
    <w:rsid w:val="00892D0D"/>
    <w:rsid w:val="009534AD"/>
    <w:rsid w:val="00971559"/>
    <w:rsid w:val="009B1049"/>
    <w:rsid w:val="00A36B15"/>
    <w:rsid w:val="00AB6E7B"/>
    <w:rsid w:val="00AD24F1"/>
    <w:rsid w:val="00B10D41"/>
    <w:rsid w:val="00B666E5"/>
    <w:rsid w:val="00BC31F6"/>
    <w:rsid w:val="00BC5778"/>
    <w:rsid w:val="00BE4C06"/>
    <w:rsid w:val="00C32F94"/>
    <w:rsid w:val="00CA30D8"/>
    <w:rsid w:val="00CB6C4E"/>
    <w:rsid w:val="00D32908"/>
    <w:rsid w:val="00D81B44"/>
    <w:rsid w:val="00D87BEA"/>
    <w:rsid w:val="00DF78CB"/>
    <w:rsid w:val="00E0393A"/>
    <w:rsid w:val="00E13099"/>
    <w:rsid w:val="00E153C1"/>
    <w:rsid w:val="00E170B1"/>
    <w:rsid w:val="00E43081"/>
    <w:rsid w:val="00E7186B"/>
    <w:rsid w:val="00EB49E8"/>
    <w:rsid w:val="00ED4423"/>
    <w:rsid w:val="00F66AA8"/>
    <w:rsid w:val="07CD85F3"/>
    <w:rsid w:val="1FDE86EA"/>
    <w:rsid w:val="319E2481"/>
    <w:rsid w:val="36F8AAE6"/>
    <w:rsid w:val="609319A4"/>
    <w:rsid w:val="6FF66CB2"/>
    <w:rsid w:val="79B924E6"/>
    <w:rsid w:val="7DE3AE86"/>
    <w:rsid w:val="7FDEE87C"/>
    <w:rsid w:val="836A9909"/>
    <w:rsid w:val="B7D3E99B"/>
    <w:rsid w:val="BA357246"/>
    <w:rsid w:val="CBF118EC"/>
    <w:rsid w:val="D7DF3554"/>
    <w:rsid w:val="EBB73F60"/>
    <w:rsid w:val="FCE2F454"/>
    <w:rsid w:val="FFE8C499"/>
    <w:rsid w:val="FFFC46A5"/>
    <w:rsid w:val="FFFF4A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alloon Text"/>
    <w:basedOn w:val="1"/>
    <w:link w:val="11"/>
    <w:qFormat/>
    <w:uiPriority w:val="0"/>
    <w:rPr>
      <w:sz w:val="18"/>
      <w:szCs w:val="18"/>
    </w:rPr>
  </w:style>
  <w:style w:type="paragraph" w:styleId="4">
    <w:name w:val="footer"/>
    <w:basedOn w:val="1"/>
    <w:link w:val="9"/>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customStyle="1" w:styleId="9">
    <w:name w:val="页脚 Char"/>
    <w:basedOn w:val="8"/>
    <w:link w:val="4"/>
    <w:qFormat/>
    <w:uiPriority w:val="99"/>
    <w:rPr>
      <w:rFonts w:ascii="Calibri" w:hAnsi="Calibri"/>
      <w:kern w:val="2"/>
      <w:sz w:val="18"/>
      <w:szCs w:val="24"/>
    </w:rPr>
  </w:style>
  <w:style w:type="paragraph" w:styleId="10">
    <w:name w:val="List Paragraph"/>
    <w:basedOn w:val="1"/>
    <w:unhideWhenUsed/>
    <w:qFormat/>
    <w:uiPriority w:val="99"/>
    <w:pPr>
      <w:ind w:firstLine="420" w:firstLineChars="200"/>
    </w:pPr>
  </w:style>
  <w:style w:type="character" w:customStyle="1" w:styleId="11">
    <w:name w:val="批注框文本 Char"/>
    <w:basedOn w:val="8"/>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234</Words>
  <Characters>1334</Characters>
  <Lines>11</Lines>
  <Paragraphs>3</Paragraphs>
  <TotalTime>0</TotalTime>
  <ScaleCrop>false</ScaleCrop>
  <LinksUpToDate>false</LinksUpToDate>
  <CharactersWithSpaces>1565</CharactersWithSpaces>
  <Application>WPS Office_12.1.0.15120_F1E327BC-269C-435d-A152-05C5408002CA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2023-08-11T17:32:00Z</dcterms:created>
  <dc:creator>kl02</dc:creator>
  <cp:lastModifiedBy>dell</cp:lastModifiedBy>
  <cp:lastPrinted>2023-08-12T00:12:00Z</cp:lastPrinted>
  <dcterms:modified xsi:type="dcterms:W3CDTF">2023-08-15T08:54:12Z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E1DAAE60F1DC488ABD08DA2B9BC0A2C6_13</vt:lpwstr>
  </property>
</Properties>
</file>