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EDC7" w14:textId="77777777" w:rsidR="00375F43" w:rsidRDefault="00375F43" w:rsidP="00375F4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1-4</w:t>
      </w:r>
    </w:p>
    <w:p w14:paraId="05A9ABCF" w14:textId="77777777" w:rsidR="00375F43" w:rsidRDefault="00375F43" w:rsidP="00375F43">
      <w:pPr>
        <w:snapToGrid w:val="0"/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14:paraId="5930E6BC" w14:textId="77777777" w:rsidR="00375F43" w:rsidRDefault="00375F43" w:rsidP="00375F43">
      <w:pPr>
        <w:snapToGrid w:val="0"/>
        <w:spacing w:line="6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2024年第七届“高创杯”广东高校科技成果</w:t>
      </w:r>
      <w:proofErr w:type="gramStart"/>
      <w:r>
        <w:rPr>
          <w:rFonts w:ascii="方正小标宋简体" w:eastAsia="方正小标宋简体" w:hAnsi="Times New Roman" w:hint="eastAsia"/>
          <w:sz w:val="44"/>
          <w:szCs w:val="44"/>
        </w:rPr>
        <w:t>转化路演大赛</w:t>
      </w:r>
      <w:proofErr w:type="gramEnd"/>
      <w:r>
        <w:rPr>
          <w:rFonts w:ascii="方正小标宋简体" w:eastAsia="方正小标宋简体" w:hAnsi="Times New Roman" w:hint="eastAsia"/>
          <w:sz w:val="44"/>
          <w:szCs w:val="44"/>
        </w:rPr>
        <w:t>评审标准</w:t>
      </w:r>
    </w:p>
    <w:p w14:paraId="44109F86" w14:textId="77777777" w:rsidR="00375F43" w:rsidRDefault="00375F43" w:rsidP="00375F43">
      <w:pPr>
        <w:pStyle w:val="2"/>
        <w:ind w:left="210"/>
      </w:pPr>
    </w:p>
    <w:p w14:paraId="4CC4C0BB" w14:textId="77777777" w:rsidR="00375F43" w:rsidRDefault="00375F43" w:rsidP="00375F43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一、高教赛道、职教赛道评审标准</w:t>
      </w:r>
    </w:p>
    <w:tbl>
      <w:tblPr>
        <w:tblW w:w="5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3"/>
        <w:gridCol w:w="1373"/>
        <w:gridCol w:w="4686"/>
        <w:gridCol w:w="1162"/>
      </w:tblGrid>
      <w:tr w:rsidR="00375F43" w14:paraId="384F0724" w14:textId="77777777" w:rsidTr="002234EF">
        <w:trPr>
          <w:cantSplit/>
          <w:trHeight w:hRule="exact" w:val="567"/>
          <w:tblHeader/>
          <w:jc w:val="center"/>
        </w:trPr>
        <w:tc>
          <w:tcPr>
            <w:tcW w:w="1253" w:type="dxa"/>
            <w:vAlign w:val="center"/>
          </w:tcPr>
          <w:p w14:paraId="332292BC" w14:textId="77777777" w:rsidR="00375F43" w:rsidRDefault="00375F43" w:rsidP="002234EF">
            <w:pPr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一级指标</w:t>
            </w:r>
          </w:p>
        </w:tc>
        <w:tc>
          <w:tcPr>
            <w:tcW w:w="1466" w:type="dxa"/>
            <w:vAlign w:val="center"/>
          </w:tcPr>
          <w:p w14:paraId="5064171B" w14:textId="77777777" w:rsidR="00375F43" w:rsidRDefault="00375F43" w:rsidP="002234EF">
            <w:pPr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二级指标</w:t>
            </w:r>
          </w:p>
        </w:tc>
        <w:tc>
          <w:tcPr>
            <w:tcW w:w="5011" w:type="dxa"/>
            <w:vAlign w:val="center"/>
          </w:tcPr>
          <w:p w14:paraId="2AD7345C" w14:textId="77777777" w:rsidR="00375F43" w:rsidRDefault="00375F43" w:rsidP="002234EF">
            <w:pPr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评价标准</w:t>
            </w:r>
          </w:p>
        </w:tc>
        <w:tc>
          <w:tcPr>
            <w:tcW w:w="1240" w:type="dxa"/>
            <w:vAlign w:val="center"/>
          </w:tcPr>
          <w:p w14:paraId="1D008730" w14:textId="77777777" w:rsidR="00375F43" w:rsidRDefault="00375F43" w:rsidP="002234EF">
            <w:pPr>
              <w:jc w:val="center"/>
              <w:rPr>
                <w:rFonts w:ascii="Times New Roman" w:eastAsia="黑体" w:hAnsi="Times New Roman"/>
                <w:szCs w:val="21"/>
              </w:rPr>
            </w:pPr>
            <w:r>
              <w:rPr>
                <w:rFonts w:ascii="Times New Roman" w:eastAsia="黑体" w:hAnsi="Times New Roman" w:hint="eastAsia"/>
                <w:szCs w:val="21"/>
              </w:rPr>
              <w:t>最高分值</w:t>
            </w:r>
          </w:p>
        </w:tc>
      </w:tr>
      <w:tr w:rsidR="00375F43" w14:paraId="1D86AD61" w14:textId="77777777" w:rsidTr="002234EF">
        <w:trPr>
          <w:cantSplit/>
          <w:trHeight w:hRule="exact" w:val="737"/>
          <w:jc w:val="center"/>
        </w:trPr>
        <w:tc>
          <w:tcPr>
            <w:tcW w:w="1253" w:type="dxa"/>
            <w:vMerge w:val="restart"/>
            <w:vAlign w:val="center"/>
          </w:tcPr>
          <w:p w14:paraId="4AD1CD9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项目团队</w:t>
            </w:r>
          </w:p>
        </w:tc>
        <w:tc>
          <w:tcPr>
            <w:tcW w:w="1466" w:type="dxa"/>
            <w:vAlign w:val="center"/>
          </w:tcPr>
          <w:p w14:paraId="6DC8E7B4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知识水平及工作经验</w:t>
            </w:r>
          </w:p>
        </w:tc>
        <w:tc>
          <w:tcPr>
            <w:tcW w:w="5011" w:type="dxa"/>
            <w:vAlign w:val="center"/>
          </w:tcPr>
          <w:p w14:paraId="4F6DDA0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团队带头人及核心团队专业知识水平、工作经历、创新思想、价值观念等情况。</w:t>
            </w:r>
          </w:p>
        </w:tc>
        <w:tc>
          <w:tcPr>
            <w:tcW w:w="1240" w:type="dxa"/>
            <w:vAlign w:val="center"/>
          </w:tcPr>
          <w:p w14:paraId="44521F4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0A061808" w14:textId="77777777" w:rsidTr="002234EF">
        <w:trPr>
          <w:cantSplit/>
          <w:trHeight w:hRule="exact" w:val="454"/>
          <w:jc w:val="center"/>
        </w:trPr>
        <w:tc>
          <w:tcPr>
            <w:tcW w:w="1253" w:type="dxa"/>
            <w:vMerge/>
            <w:vAlign w:val="center"/>
          </w:tcPr>
          <w:p w14:paraId="52B619C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2F07182C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团队结构</w:t>
            </w:r>
          </w:p>
        </w:tc>
        <w:tc>
          <w:tcPr>
            <w:tcW w:w="5011" w:type="dxa"/>
            <w:vAlign w:val="center"/>
          </w:tcPr>
          <w:p w14:paraId="3E370AA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团队成员年龄、知识背景、能力结构是否合理。</w:t>
            </w:r>
          </w:p>
        </w:tc>
        <w:tc>
          <w:tcPr>
            <w:tcW w:w="1240" w:type="dxa"/>
            <w:vAlign w:val="center"/>
          </w:tcPr>
          <w:p w14:paraId="60A08B1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6</w:t>
            </w:r>
          </w:p>
        </w:tc>
      </w:tr>
      <w:tr w:rsidR="00375F43" w14:paraId="3565B8B4" w14:textId="77777777" w:rsidTr="002234EF">
        <w:trPr>
          <w:cantSplit/>
          <w:trHeight w:hRule="exact" w:val="737"/>
          <w:jc w:val="center"/>
        </w:trPr>
        <w:tc>
          <w:tcPr>
            <w:tcW w:w="1253" w:type="dxa"/>
            <w:vMerge/>
            <w:vAlign w:val="center"/>
          </w:tcPr>
          <w:p w14:paraId="26D4905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43B35F75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稳定程度</w:t>
            </w:r>
          </w:p>
        </w:tc>
        <w:tc>
          <w:tcPr>
            <w:tcW w:w="5011" w:type="dxa"/>
            <w:vAlign w:val="center"/>
          </w:tcPr>
          <w:p w14:paraId="5361E844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团队成员投入时间与投入精力有保证，团队合作稳定性，持续研发计划及支持经费来源。</w:t>
            </w:r>
          </w:p>
        </w:tc>
        <w:tc>
          <w:tcPr>
            <w:tcW w:w="1240" w:type="dxa"/>
            <w:vAlign w:val="center"/>
          </w:tcPr>
          <w:p w14:paraId="6E184D98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6</w:t>
            </w:r>
          </w:p>
        </w:tc>
      </w:tr>
      <w:tr w:rsidR="00375F43" w14:paraId="11DD42E3" w14:textId="77777777" w:rsidTr="002234EF">
        <w:trPr>
          <w:cantSplit/>
          <w:trHeight w:hRule="exact" w:val="737"/>
          <w:jc w:val="center"/>
        </w:trPr>
        <w:tc>
          <w:tcPr>
            <w:tcW w:w="1253" w:type="dxa"/>
            <w:vMerge w:val="restart"/>
            <w:vAlign w:val="center"/>
          </w:tcPr>
          <w:p w14:paraId="1A6BAE3B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highlight w:val="yello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科技含量</w:t>
            </w:r>
          </w:p>
        </w:tc>
        <w:tc>
          <w:tcPr>
            <w:tcW w:w="1466" w:type="dxa"/>
            <w:vAlign w:val="center"/>
          </w:tcPr>
          <w:p w14:paraId="3007C2E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highlight w:val="yello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主体技术水平</w:t>
            </w:r>
          </w:p>
        </w:tc>
        <w:tc>
          <w:tcPr>
            <w:tcW w:w="5011" w:type="dxa"/>
            <w:vAlign w:val="center"/>
          </w:tcPr>
          <w:p w14:paraId="34CE18D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在关键技术上有所突破，整体技术和核心技术指标达到先进水平的情况。</w:t>
            </w:r>
          </w:p>
          <w:p w14:paraId="619B33DD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1A217DA1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5E636F48" w14:textId="77777777" w:rsidTr="002234EF">
        <w:trPr>
          <w:cantSplit/>
          <w:trHeight w:hRule="exact" w:val="686"/>
          <w:jc w:val="center"/>
        </w:trPr>
        <w:tc>
          <w:tcPr>
            <w:tcW w:w="1253" w:type="dxa"/>
            <w:vMerge/>
            <w:vAlign w:val="center"/>
          </w:tcPr>
          <w:p w14:paraId="705BB72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098F732C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技术优势</w:t>
            </w:r>
          </w:p>
        </w:tc>
        <w:tc>
          <w:tcPr>
            <w:tcW w:w="5011" w:type="dxa"/>
            <w:vAlign w:val="center"/>
          </w:tcPr>
          <w:p w14:paraId="5F422471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核心技术不易被模仿或被替代。</w:t>
            </w:r>
          </w:p>
        </w:tc>
        <w:tc>
          <w:tcPr>
            <w:tcW w:w="1240" w:type="dxa"/>
            <w:vAlign w:val="center"/>
          </w:tcPr>
          <w:p w14:paraId="077CEB81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0DC038B5" w14:textId="77777777" w:rsidTr="002234EF">
        <w:trPr>
          <w:cantSplit/>
          <w:trHeight w:hRule="exact" w:val="611"/>
          <w:jc w:val="center"/>
        </w:trPr>
        <w:tc>
          <w:tcPr>
            <w:tcW w:w="1253" w:type="dxa"/>
            <w:vMerge/>
            <w:vAlign w:val="center"/>
          </w:tcPr>
          <w:p w14:paraId="27B0F89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4B3CC398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进入壁垒</w:t>
            </w:r>
          </w:p>
        </w:tc>
        <w:tc>
          <w:tcPr>
            <w:tcW w:w="5011" w:type="dxa"/>
            <w:vAlign w:val="center"/>
          </w:tcPr>
          <w:p w14:paraId="75286DCA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不存在政策、环境、市场准入等方面的制约。</w:t>
            </w:r>
          </w:p>
        </w:tc>
        <w:tc>
          <w:tcPr>
            <w:tcW w:w="1240" w:type="dxa"/>
            <w:vAlign w:val="center"/>
          </w:tcPr>
          <w:p w14:paraId="2B08DAD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7ED16013" w14:textId="77777777" w:rsidTr="002234EF">
        <w:trPr>
          <w:cantSplit/>
          <w:trHeight w:val="737"/>
          <w:jc w:val="center"/>
        </w:trPr>
        <w:tc>
          <w:tcPr>
            <w:tcW w:w="1253" w:type="dxa"/>
            <w:vMerge w:val="restart"/>
            <w:vAlign w:val="center"/>
          </w:tcPr>
          <w:p w14:paraId="224C3FFD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市场机会</w:t>
            </w:r>
          </w:p>
        </w:tc>
        <w:tc>
          <w:tcPr>
            <w:tcW w:w="1466" w:type="dxa"/>
            <w:vMerge w:val="restart"/>
            <w:vAlign w:val="center"/>
          </w:tcPr>
          <w:p w14:paraId="623F8448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市场前景</w:t>
            </w:r>
          </w:p>
        </w:tc>
        <w:tc>
          <w:tcPr>
            <w:tcW w:w="5011" w:type="dxa"/>
            <w:vAlign w:val="center"/>
          </w:tcPr>
          <w:p w14:paraId="39C2A0EA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市场需求：目标客户明确，市场需求较大，产品或服务市场认可度高并能快速进入。</w:t>
            </w:r>
          </w:p>
        </w:tc>
        <w:tc>
          <w:tcPr>
            <w:tcW w:w="1240" w:type="dxa"/>
            <w:vAlign w:val="center"/>
          </w:tcPr>
          <w:p w14:paraId="7AA3F3EA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7</w:t>
            </w:r>
          </w:p>
        </w:tc>
      </w:tr>
      <w:tr w:rsidR="00375F43" w14:paraId="61E40873" w14:textId="77777777" w:rsidTr="002234EF">
        <w:trPr>
          <w:cantSplit/>
          <w:trHeight w:hRule="exact" w:val="737"/>
          <w:jc w:val="center"/>
        </w:trPr>
        <w:tc>
          <w:tcPr>
            <w:tcW w:w="1253" w:type="dxa"/>
            <w:vMerge/>
            <w:vAlign w:val="center"/>
          </w:tcPr>
          <w:p w14:paraId="415FB3B6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14:paraId="0F7E1BD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011" w:type="dxa"/>
            <w:vAlign w:val="center"/>
          </w:tcPr>
          <w:p w14:paraId="73FFE9D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2.</w:t>
            </w: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市场价值：产品在供应链上游及下游的话语权、专业能力及不可替代性。</w:t>
            </w:r>
          </w:p>
        </w:tc>
        <w:tc>
          <w:tcPr>
            <w:tcW w:w="1240" w:type="dxa"/>
            <w:vAlign w:val="center"/>
          </w:tcPr>
          <w:p w14:paraId="3BB9CC6B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061E6557" w14:textId="77777777" w:rsidTr="002234EF">
        <w:trPr>
          <w:cantSplit/>
          <w:trHeight w:hRule="exact" w:val="737"/>
          <w:jc w:val="center"/>
        </w:trPr>
        <w:tc>
          <w:tcPr>
            <w:tcW w:w="1253" w:type="dxa"/>
            <w:vMerge/>
            <w:vAlign w:val="center"/>
          </w:tcPr>
          <w:p w14:paraId="04250CFB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1C6FAD9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lang w:val="zh-TW" w:eastAsia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知识产权保护</w:t>
            </w:r>
          </w:p>
        </w:tc>
        <w:tc>
          <w:tcPr>
            <w:tcW w:w="5011" w:type="dxa"/>
            <w:vAlign w:val="center"/>
          </w:tcPr>
          <w:p w14:paraId="03621F85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  <w:lang w:val="zh-TW" w:eastAsia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成果知识产权清晰无争议，有知识产权成果池或完善的知识产权保护计划。</w:t>
            </w:r>
          </w:p>
        </w:tc>
        <w:tc>
          <w:tcPr>
            <w:tcW w:w="1240" w:type="dxa"/>
            <w:vAlign w:val="center"/>
          </w:tcPr>
          <w:p w14:paraId="665FD94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2C10B849" w14:textId="77777777" w:rsidTr="002234EF">
        <w:trPr>
          <w:cantSplit/>
          <w:trHeight w:hRule="exact" w:val="454"/>
          <w:jc w:val="center"/>
        </w:trPr>
        <w:tc>
          <w:tcPr>
            <w:tcW w:w="1253" w:type="dxa"/>
            <w:vMerge/>
            <w:vAlign w:val="center"/>
          </w:tcPr>
          <w:p w14:paraId="57225C19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Merge w:val="restart"/>
            <w:vAlign w:val="center"/>
          </w:tcPr>
          <w:p w14:paraId="5C340C56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lang w:val="zh-TW" w:eastAsia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技术成熟度</w:t>
            </w:r>
          </w:p>
        </w:tc>
        <w:tc>
          <w:tcPr>
            <w:tcW w:w="5011" w:type="dxa"/>
            <w:vAlign w:val="center"/>
          </w:tcPr>
          <w:p w14:paraId="53CA369A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  <w:lang w:val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核心技术比较成熟，配套技术基本具备。</w:t>
            </w:r>
          </w:p>
        </w:tc>
        <w:tc>
          <w:tcPr>
            <w:tcW w:w="1240" w:type="dxa"/>
            <w:vAlign w:val="center"/>
          </w:tcPr>
          <w:p w14:paraId="0F9D995A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7</w:t>
            </w:r>
          </w:p>
        </w:tc>
      </w:tr>
      <w:tr w:rsidR="00375F43" w14:paraId="04E1DAD6" w14:textId="77777777" w:rsidTr="002234EF">
        <w:trPr>
          <w:cantSplit/>
          <w:trHeight w:hRule="exact" w:val="737"/>
          <w:jc w:val="center"/>
        </w:trPr>
        <w:tc>
          <w:tcPr>
            <w:tcW w:w="1253" w:type="dxa"/>
            <w:vMerge/>
            <w:vAlign w:val="center"/>
          </w:tcPr>
          <w:p w14:paraId="187A90E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14:paraId="3115B33A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5011" w:type="dxa"/>
            <w:vAlign w:val="center"/>
          </w:tcPr>
          <w:p w14:paraId="28899296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2.</w:t>
            </w: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能够实现技术成果转化，形成主导产品重要技术指标稳定可靠。</w:t>
            </w:r>
          </w:p>
        </w:tc>
        <w:tc>
          <w:tcPr>
            <w:tcW w:w="1240" w:type="dxa"/>
            <w:vAlign w:val="center"/>
          </w:tcPr>
          <w:p w14:paraId="40C9482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0A4D20D5" w14:textId="77777777" w:rsidTr="002234EF">
        <w:trPr>
          <w:cantSplit/>
          <w:trHeight w:hRule="exact" w:val="1134"/>
          <w:jc w:val="center"/>
        </w:trPr>
        <w:tc>
          <w:tcPr>
            <w:tcW w:w="1253" w:type="dxa"/>
            <w:vMerge/>
            <w:vAlign w:val="center"/>
          </w:tcPr>
          <w:p w14:paraId="6794EEF9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66" w:type="dxa"/>
            <w:vAlign w:val="center"/>
          </w:tcPr>
          <w:p w14:paraId="57A0BF3E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lang w:val="zh-TW" w:eastAsia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实施计划</w:t>
            </w:r>
          </w:p>
        </w:tc>
        <w:tc>
          <w:tcPr>
            <w:tcW w:w="5011" w:type="dxa"/>
            <w:vAlign w:val="center"/>
          </w:tcPr>
          <w:p w14:paraId="4CD57FD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  <w:lang w:val="zh-TW" w:eastAsia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成果转化路线的合理性及持续性：转化路线设计科学、合理，研发方案全面、严谨，采用的方法比较可靠，风险分析及应对措施得当，有合理的投融资计划。</w:t>
            </w:r>
          </w:p>
        </w:tc>
        <w:tc>
          <w:tcPr>
            <w:tcW w:w="1240" w:type="dxa"/>
            <w:vAlign w:val="center"/>
          </w:tcPr>
          <w:p w14:paraId="35975964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</w:tbl>
    <w:p w14:paraId="4BF13424" w14:textId="77777777" w:rsidR="00375F43" w:rsidRDefault="00375F43" w:rsidP="00375F43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黑体" w:hAnsi="Times New Roman"/>
          <w:color w:val="000000"/>
          <w:sz w:val="32"/>
          <w:szCs w:val="32"/>
        </w:rPr>
      </w:pPr>
    </w:p>
    <w:p w14:paraId="66D93FB5" w14:textId="77777777" w:rsidR="000E0950" w:rsidRPr="000E0950" w:rsidRDefault="000E0950" w:rsidP="000E0950">
      <w:pPr>
        <w:pStyle w:val="2"/>
        <w:rPr>
          <w:rFonts w:hint="eastAsia"/>
        </w:rPr>
      </w:pPr>
    </w:p>
    <w:p w14:paraId="7F6A1BB8" w14:textId="77777777" w:rsidR="00375F43" w:rsidRDefault="00375F43" w:rsidP="00375F43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color w:val="000000"/>
          <w:sz w:val="32"/>
          <w:szCs w:val="32"/>
        </w:rPr>
        <w:lastRenderedPageBreak/>
        <w:t>二、成长赛道评审</w:t>
      </w:r>
      <w:r>
        <w:rPr>
          <w:rFonts w:ascii="Times New Roman" w:eastAsia="黑体" w:hAnsi="Times New Roman" w:hint="eastAsia"/>
          <w:sz w:val="32"/>
          <w:szCs w:val="32"/>
        </w:rPr>
        <w:t>标准</w:t>
      </w:r>
    </w:p>
    <w:tbl>
      <w:tblPr>
        <w:tblW w:w="494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6"/>
        <w:gridCol w:w="1315"/>
        <w:gridCol w:w="4564"/>
        <w:gridCol w:w="1071"/>
      </w:tblGrid>
      <w:tr w:rsidR="00375F43" w14:paraId="0B3C65F4" w14:textId="77777777" w:rsidTr="002234EF">
        <w:trPr>
          <w:trHeight w:hRule="exact" w:val="567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B66F76" w14:textId="77777777" w:rsidR="00375F43" w:rsidRDefault="00375F43" w:rsidP="002234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Times New Roman" w:eastAsia="黑体" w:hAnsi="Times New Roman" w:hint="eastAsia"/>
                <w:color w:val="000000"/>
                <w:szCs w:val="21"/>
              </w:rPr>
              <w:t>一级指标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DEC109" w14:textId="77777777" w:rsidR="00375F43" w:rsidRDefault="00375F43" w:rsidP="002234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Times New Roman" w:eastAsia="黑体" w:hAnsi="Times New Roman" w:hint="eastAsia"/>
                <w:color w:val="000000"/>
                <w:szCs w:val="21"/>
              </w:rPr>
              <w:t>二级指标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A02E77" w14:textId="77777777" w:rsidR="00375F43" w:rsidRDefault="00375F43" w:rsidP="002234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Times New Roman" w:eastAsia="黑体" w:hAnsi="Times New Roman" w:hint="eastAsia"/>
                <w:color w:val="000000"/>
                <w:szCs w:val="21"/>
              </w:rPr>
              <w:t>评价标准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6DEA" w14:textId="77777777" w:rsidR="00375F43" w:rsidRDefault="00375F43" w:rsidP="002234EF">
            <w:pPr>
              <w:jc w:val="center"/>
              <w:rPr>
                <w:rFonts w:ascii="宋体" w:hAnsi="宋体" w:cs="宋体"/>
                <w:color w:val="000000"/>
                <w:szCs w:val="21"/>
                <w:lang w:bidi="zh-TW"/>
              </w:rPr>
            </w:pPr>
            <w:r>
              <w:rPr>
                <w:rFonts w:ascii="Times New Roman" w:eastAsia="黑体" w:hAnsi="Times New Roman" w:hint="eastAsia"/>
                <w:color w:val="000000"/>
                <w:szCs w:val="21"/>
              </w:rPr>
              <w:t>最高分值</w:t>
            </w:r>
          </w:p>
        </w:tc>
      </w:tr>
      <w:tr w:rsidR="00375F43" w14:paraId="1451193B" w14:textId="77777777" w:rsidTr="002234EF">
        <w:trPr>
          <w:trHeight w:hRule="exact" w:val="794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20011B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项目团队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D73CE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团队能力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4755F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团队带头人及核心团队的管理水平、市场开拓能力、专业知识水平、创新思想、价值观念等情况。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95A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386CA064" w14:textId="77777777" w:rsidTr="002234EF">
        <w:trPr>
          <w:trHeight w:hRule="exact" w:val="794"/>
          <w:jc w:val="center"/>
        </w:trPr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0641BAD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A870E4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公司架构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FF9E9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公司的组织构架、股权结构、人员配置以及激励制度合理。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DBF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2B1D5FFD" w14:textId="77777777" w:rsidTr="002234EF">
        <w:trPr>
          <w:trHeight w:hRule="exact" w:val="737"/>
          <w:jc w:val="center"/>
        </w:trPr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3A51EF2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6D7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稳定程度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6B1EA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团队成员投入时间与投入精力有保证，团队合作稳定性，持续研发计划及支持经费来源。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F75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69C89B02" w14:textId="77777777" w:rsidTr="002234EF">
        <w:trPr>
          <w:trHeight w:val="850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F8478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highlight w:val="yello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市场机会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C420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highlight w:val="yello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市场需求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FC8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目标客户明确，市场容量及需求较大，可拓展性强，产品或服务市场认可度高并能快速进入，有合适的计划和可靠资源支持未来持续快速成长。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BF7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6D459D55" w14:textId="77777777" w:rsidTr="002234EF">
        <w:trPr>
          <w:trHeight w:val="788"/>
          <w:jc w:val="center"/>
        </w:trPr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4FEF7BB6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2BE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竞争优势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3C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产品竞争优势明显，竞争能力强，不可复制性。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800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633B5375" w14:textId="77777777" w:rsidTr="002234EF">
        <w:trPr>
          <w:trHeight w:val="850"/>
          <w:jc w:val="center"/>
        </w:trPr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22B1B69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E01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市场门槛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F4FE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产品不易被模仿或被替代，主导产品不存在政策、环境、市场准入等方面的制约。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A809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4A02024D" w14:textId="77777777" w:rsidTr="002234EF">
        <w:trPr>
          <w:trHeight w:val="850"/>
          <w:jc w:val="center"/>
        </w:trPr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FDA8CF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05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市场价值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9153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产品在供应链上游及下游的话语权、专业能力及不可替代性。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FF38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469A4D88" w14:textId="77777777" w:rsidTr="002234EF">
        <w:trPr>
          <w:trHeight w:val="850"/>
          <w:jc w:val="center"/>
        </w:trPr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1F20A9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C152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产品开发和生产策略</w:t>
            </w:r>
          </w:p>
        </w:tc>
        <w:tc>
          <w:tcPr>
            <w:tcW w:w="48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E93D08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产品化实施计划进度明确，阶段目标清晰、可行。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385E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8</w:t>
            </w:r>
          </w:p>
        </w:tc>
      </w:tr>
      <w:tr w:rsidR="00375F43" w14:paraId="1F93BD4E" w14:textId="77777777" w:rsidTr="002234EF">
        <w:trPr>
          <w:trHeight w:val="680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9D3D0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lang w:val="zh-TW" w:eastAsia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财务状况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A776E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  <w:lang w:val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经营现状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7A8B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  <w:lang w:val="zh-TW" w:eastAsia="zh-TW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1.</w:t>
            </w: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经营绩效：项目存续时间、营业收入、企业利润、持续盈利能力、市场份额、客户（用户）情况、税收上缴、投入与产出比等情况。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208D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35C22B5C" w14:textId="77777777" w:rsidTr="002234EF">
        <w:trPr>
          <w:trHeight w:val="463"/>
          <w:jc w:val="center"/>
        </w:trPr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01D22B6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2477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F95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2.</w:t>
            </w: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现金流：维持企业正常经营的现金流情况。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E566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  <w:tr w:rsidR="00375F43" w14:paraId="026A67A1" w14:textId="77777777" w:rsidTr="002234EF">
        <w:trPr>
          <w:trHeight w:val="680"/>
          <w:jc w:val="center"/>
        </w:trPr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062FD3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B5D4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经营规划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961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left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投融资计划、资金结构及财务规划合理，资金筹措能力有保障。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CD08" w14:textId="77777777" w:rsidR="00375F43" w:rsidRDefault="00375F43" w:rsidP="002234EF">
            <w:pPr>
              <w:tabs>
                <w:tab w:val="left" w:pos="312"/>
              </w:tabs>
              <w:spacing w:line="360" w:lineRule="exact"/>
              <w:jc w:val="center"/>
              <w:rPr>
                <w:rFonts w:ascii="Times New Roman" w:eastAsia="仿宋_GB2312" w:hAnsi="Times New Roman"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21"/>
              </w:rPr>
              <w:t>10</w:t>
            </w:r>
          </w:p>
        </w:tc>
      </w:tr>
    </w:tbl>
    <w:p w14:paraId="4716360C" w14:textId="77777777" w:rsidR="00375F43" w:rsidRDefault="00375F43" w:rsidP="00375F43">
      <w:pPr>
        <w:spacing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备注：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1.赛事评审标准根据评审专家意见进行实时修正。</w:t>
      </w:r>
    </w:p>
    <w:p w14:paraId="3A244ACC" w14:textId="77777777" w:rsidR="00375F43" w:rsidRDefault="00375F43" w:rsidP="00375F43">
      <w:pPr>
        <w:tabs>
          <w:tab w:val="left" w:pos="312"/>
        </w:tabs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2.成果推广赛道、行业需求赛道、境外赛道评审规则由广东高校科技成果转化中心另行发布。</w:t>
      </w:r>
    </w:p>
    <w:p w14:paraId="1D5635D3" w14:textId="77777777" w:rsidR="00375F43" w:rsidRDefault="00375F43" w:rsidP="00375F43">
      <w:pPr>
        <w:rPr>
          <w:rFonts w:ascii="仿宋_GB2312" w:eastAsia="仿宋_GB2312" w:hAnsi="仿宋_GB2312" w:cs="仿宋_GB2312"/>
          <w:sz w:val="28"/>
          <w:szCs w:val="28"/>
        </w:rPr>
      </w:pPr>
    </w:p>
    <w:p w14:paraId="0DD67D82" w14:textId="7BBB633D" w:rsidR="009D2A50" w:rsidRPr="00375F43" w:rsidRDefault="009D2A50"/>
    <w:sectPr w:rsidR="009D2A50" w:rsidRPr="00375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8DB15" w14:textId="77777777" w:rsidR="00570919" w:rsidRDefault="00570919" w:rsidP="00375F43">
      <w:r>
        <w:separator/>
      </w:r>
    </w:p>
  </w:endnote>
  <w:endnote w:type="continuationSeparator" w:id="0">
    <w:p w14:paraId="7DCB7811" w14:textId="77777777" w:rsidR="00570919" w:rsidRDefault="00570919" w:rsidP="0037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FA2A3" w14:textId="77777777" w:rsidR="00570919" w:rsidRDefault="00570919" w:rsidP="00375F43">
      <w:r>
        <w:separator/>
      </w:r>
    </w:p>
  </w:footnote>
  <w:footnote w:type="continuationSeparator" w:id="0">
    <w:p w14:paraId="17FD09E7" w14:textId="77777777" w:rsidR="00570919" w:rsidRDefault="00570919" w:rsidP="00375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63D"/>
    <w:rsid w:val="000E0950"/>
    <w:rsid w:val="000F4038"/>
    <w:rsid w:val="00375F43"/>
    <w:rsid w:val="00570919"/>
    <w:rsid w:val="0098363D"/>
    <w:rsid w:val="009D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7D244"/>
  <w15:chartTrackingRefBased/>
  <w15:docId w15:val="{893B6BE5-9254-4069-A7C4-3A0B8FAE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375F4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F43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5F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5F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5F43"/>
    <w:rPr>
      <w:sz w:val="18"/>
      <w:szCs w:val="18"/>
    </w:rPr>
  </w:style>
  <w:style w:type="paragraph" w:styleId="2">
    <w:name w:val="Body Text 2"/>
    <w:basedOn w:val="a"/>
    <w:link w:val="20"/>
    <w:uiPriority w:val="99"/>
    <w:qFormat/>
    <w:rsid w:val="00375F43"/>
    <w:pPr>
      <w:spacing w:after="120" w:line="480" w:lineRule="auto"/>
    </w:pPr>
    <w:rPr>
      <w:sz w:val="32"/>
    </w:rPr>
  </w:style>
  <w:style w:type="character" w:customStyle="1" w:styleId="20">
    <w:name w:val="正文文本 2 字符"/>
    <w:basedOn w:val="a0"/>
    <w:link w:val="2"/>
    <w:uiPriority w:val="99"/>
    <w:rsid w:val="00375F43"/>
    <w:rPr>
      <w:rFonts w:ascii="Calibri" w:eastAsia="宋体" w:hAnsi="Calibri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weeny</dc:creator>
  <cp:keywords/>
  <dc:description/>
  <cp:lastModifiedBy>weeny</cp:lastModifiedBy>
  <cp:revision>4</cp:revision>
  <dcterms:created xsi:type="dcterms:W3CDTF">2024-04-01T07:38:00Z</dcterms:created>
  <dcterms:modified xsi:type="dcterms:W3CDTF">2024-04-02T02:30:00Z</dcterms:modified>
</cp:coreProperties>
</file>