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/>
          <w:color w:val="000000"/>
          <w:lang w:val="en-US" w:eastAsia="zh-CN"/>
        </w:rPr>
      </w:pPr>
      <w:r>
        <w:rPr>
          <w:rFonts w:hint="eastAsia" w:ascii="黑体" w:hAnsi="黑体" w:eastAsia="黑体" w:cs="黑体"/>
          <w:color w:val="000000"/>
          <w:lang w:eastAsia="zh-CN"/>
        </w:rPr>
        <w:t>附件</w:t>
      </w:r>
      <w:r>
        <w:rPr>
          <w:rFonts w:hint="eastAsia" w:ascii="Times New Roman" w:hAnsi="Times New Roman"/>
          <w:color w:val="000000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Times New Roman" w:hAnsi="Times New Roman"/>
          <w:color w:val="000000"/>
          <w:lang w:val="en-US" w:eastAsia="zh-CN"/>
        </w:rPr>
      </w:pPr>
    </w:p>
    <w:p>
      <w:pPr>
        <w:spacing w:line="594" w:lineRule="exact"/>
        <w:ind w:left="198" w:leftChars="62" w:firstLine="440" w:firstLineChars="10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bookmarkStart w:id="0" w:name="_Toc119688257"/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广东省市场监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督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管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理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局标准化业务</w:t>
      </w:r>
    </w:p>
    <w:p>
      <w:pPr>
        <w:spacing w:line="594" w:lineRule="exact"/>
        <w:ind w:left="198" w:leftChars="62" w:firstLine="440" w:firstLineChars="10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综合管理平台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操作指南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98" w:leftChars="62" w:firstLine="440" w:firstLineChars="1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</w:p>
    <w:bookmarkEnd w:id="0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firstLine="640" w:firstLineChars="200"/>
        <w:textAlignment w:val="auto"/>
        <w:rPr>
          <w:color w:val="000000"/>
        </w:rPr>
      </w:pPr>
      <w:r>
        <w:rPr>
          <w:rFonts w:hint="eastAsia"/>
          <w:color w:val="000000"/>
          <w:lang w:val="en-US" w:eastAsia="zh-CN"/>
        </w:rPr>
        <w:t>系统访问地址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480" w:firstLineChars="200"/>
        <w:textAlignment w:val="auto"/>
        <w:rPr>
          <w:color w:val="000000"/>
          <w:sz w:val="24"/>
          <w:szCs w:val="28"/>
        </w:rPr>
      </w:pPr>
      <w:r>
        <w:rPr>
          <w:rFonts w:hint="eastAsia"/>
          <w:color w:val="000000"/>
          <w:sz w:val="24"/>
          <w:szCs w:val="28"/>
        </w:rPr>
        <w:t>https://amr.gd.gov.cn/standard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80" w:lineRule="exact"/>
        <w:ind w:left="0" w:firstLine="640" w:firstLineChars="200"/>
        <w:textAlignment w:val="auto"/>
        <w:rPr>
          <w:color w:val="000000"/>
        </w:rPr>
      </w:pPr>
      <w:r>
        <w:rPr>
          <w:rFonts w:hint="eastAsia"/>
          <w:color w:val="000000"/>
          <w:lang w:val="en-US" w:eastAsia="zh-CN"/>
        </w:rPr>
        <w:t>登录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560" w:firstLineChars="200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1.点击上面的访问地址，跳转到系统首页，再点击右上角“登录”按钮，会跳转到“省统一身份认证登录”页面。</w:t>
      </w:r>
    </w:p>
    <w:p>
      <w:pPr>
        <w:jc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912995" cy="2280920"/>
            <wp:effectExtent l="0" t="0" r="1905" b="5080"/>
            <wp:docPr id="3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/>
                  </pic:nvPicPr>
                  <pic:blipFill>
                    <a:blip r:embed="rId4"/>
                    <a:srcRect t="1276" b="5206"/>
                    <a:stretch>
                      <a:fillRect/>
                    </a:stretch>
                  </pic:blipFill>
                  <pic:spPr>
                    <a:xfrm>
                      <a:off x="0" y="0"/>
                      <a:ext cx="4912995" cy="228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560" w:firstLineChars="200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2.切换至“个人登录”，输入帐号密码登录即可。</w:t>
      </w:r>
    </w:p>
    <w:p>
      <w:pPr>
        <w:jc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017770" cy="2211070"/>
            <wp:effectExtent l="0" t="0" r="11430" b="177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rcRect l="2133" r="2628" b="21078"/>
                    <a:stretch>
                      <a:fillRect/>
                    </a:stretch>
                  </pic:blipFill>
                  <pic:spPr>
                    <a:xfrm>
                      <a:off x="0" y="0"/>
                      <a:ext cx="5017770" cy="221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3.如果没有注册过省统一身份认证，则可以点击“粤省事登录”，通过微信扫码，根据手机小程序指引注册并登录。</w:t>
      </w:r>
    </w:p>
    <w:p>
      <w:pPr>
        <w:widowControl w:val="0"/>
        <w:numPr>
          <w:ilvl w:val="0"/>
          <w:numId w:val="0"/>
        </w:numPr>
        <w:jc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977130" cy="2402205"/>
            <wp:effectExtent l="0" t="0" r="13970" b="1714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rcRect l="3445" r="2144" b="3397"/>
                    <a:stretch>
                      <a:fillRect/>
                    </a:stretch>
                  </pic:blipFill>
                  <pic:spPr>
                    <a:xfrm>
                      <a:off x="0" y="0"/>
                      <a:ext cx="4977130" cy="240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center"/>
        <w:rPr>
          <w:rFonts w:hint="eastAsia"/>
          <w:color w:val="000000"/>
          <w:lang w:val="en-US" w:eastAsia="zh-CN"/>
        </w:rPr>
      </w:pPr>
      <w:r>
        <w:rPr>
          <w:color w:val="000000"/>
        </w:rPr>
        <w:drawing>
          <wp:inline distT="0" distB="0" distL="114300" distR="114300">
            <wp:extent cx="5025390" cy="2589530"/>
            <wp:effectExtent l="0" t="0" r="3810" b="0"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rcRect l="1811" r="2632" b="-2850"/>
                    <a:stretch>
                      <a:fillRect/>
                    </a:stretch>
                  </pic:blipFill>
                  <pic:spPr>
                    <a:xfrm>
                      <a:off x="0" y="0"/>
                      <a:ext cx="5025390" cy="258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color w:val="000000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4.也可以直接点击“粤省事登录”，用微信扫码之后确认登录。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color w:val="000000"/>
        </w:rPr>
      </w:pPr>
      <w:r>
        <w:rPr>
          <w:rFonts w:hint="eastAsia"/>
          <w:color w:val="000000"/>
          <w:lang w:eastAsia="zh-CN"/>
        </w:rPr>
        <w:t>专家申请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注册登录成功后，点击左侧菜单“专家申请”进行填报，填写基本信息之后，在左侧“材料附件”上传相关材料，并提交即可。提交之后，系统进行审核，用户可以在左侧菜单“申请记录”查看是否通过。</w:t>
      </w:r>
    </w:p>
    <w:p>
      <w:pPr>
        <w:jc w:val="both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63515" cy="2642235"/>
            <wp:effectExtent l="0" t="0" r="13335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rcRect b="8929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264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申请记录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点击左侧菜单“申请记录”，查看进度情况或者修改表单并提交。</w:t>
      </w:r>
    </w:p>
    <w:p>
      <w:pPr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72405" cy="2641600"/>
            <wp:effectExtent l="0" t="0" r="4445" b="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rcRect b="-918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6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/>
          <w:color w:val="000000"/>
          <w:lang w:val="en-US" w:eastAsia="zh-CN"/>
        </w:rPr>
      </w:pPr>
      <w:r>
        <w:rPr>
          <w:rFonts w:hint="eastAsia"/>
          <w:color w:val="000000"/>
          <w:lang w:val="en-US" w:eastAsia="zh-CN"/>
        </w:rPr>
        <w:t>操作咨询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系统</w:t>
      </w:r>
      <w:r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  <w:t>操作咨询QQ群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：</w:t>
      </w:r>
      <w:r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  <w:t>531937920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，也可以用手机QQ扫下面二维码进群咨询。或直接电话联系苏工（13642659835）、孙工（18688276912）。</w:t>
      </w:r>
    </w:p>
    <w:p>
      <w:pPr>
        <w:ind w:firstLine="560" w:firstLineChars="200"/>
        <w:jc w:val="center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  <w:drawing>
          <wp:inline distT="0" distB="0" distL="114300" distR="114300">
            <wp:extent cx="2160270" cy="2620645"/>
            <wp:effectExtent l="0" t="0" r="11430" b="8255"/>
            <wp:docPr id="6" name="图片 7" descr="qrcode_1714968854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qrcode_1714968854479"/>
                    <pic:cNvPicPr>
                      <a:picLocks noChangeAspect="1"/>
                    </pic:cNvPicPr>
                  </pic:nvPicPr>
                  <pic:blipFill>
                    <a:blip r:embed="rId10"/>
                    <a:srcRect t="14273" b="17410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62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chineseCountingThousand"/>
      <w:lvlText w:val="第%1章"/>
      <w:lvlJc w:val="center"/>
      <w:pPr>
        <w:ind w:left="432" w:hanging="144"/>
      </w:pPr>
      <w:rPr>
        <w:rFonts w:hint="eastAsia"/>
      </w:rPr>
    </w:lvl>
    <w:lvl w:ilvl="1" w:tentative="0">
      <w:start w:val="1"/>
      <w:numFmt w:val="decimal"/>
      <w:pStyle w:val="2"/>
      <w:isLgl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isLgl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87B49"/>
    <w:rsid w:val="0548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等线 Light" w:hAnsi="等线 Light" w:eastAsia="黑体" w:cs="宋体"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2024-05-17T02:25:00Z</dcterms:created>
  <dc:creator>胡翌婧</dc:creator>
  <cp:lastModifiedBy>胡翌婧</cp:lastModifiedBy>
  <dcterms:modified xsi:type="dcterms:W3CDTF">2024-05-17T02:26:13Z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25C33C03920245649B1CC9D196957241</vt:lpwstr>
  </property>
</Properties>
</file>