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CB" w:rsidRDefault="00DF5ACB" w:rsidP="00DF5ACB">
      <w:pPr>
        <w:jc w:val="center"/>
        <w:rPr>
          <w:rFonts w:ascii="宋体" w:hAnsi="宋体" w:hint="eastAsia"/>
          <w:b/>
          <w:bCs/>
          <w:sz w:val="44"/>
          <w:szCs w:val="44"/>
        </w:rPr>
      </w:pPr>
      <w:r>
        <w:rPr>
          <w:rFonts w:ascii="宋体" w:hAnsi="宋体" w:hint="eastAsia"/>
          <w:b/>
          <w:bCs/>
          <w:sz w:val="44"/>
          <w:szCs w:val="44"/>
        </w:rPr>
        <w:t>关于印发</w:t>
      </w:r>
    </w:p>
    <w:p w:rsidR="00DF5ACB" w:rsidRDefault="00DF5ACB" w:rsidP="00DF5ACB">
      <w:pPr>
        <w:jc w:val="center"/>
        <w:rPr>
          <w:rFonts w:ascii="宋体" w:hAnsi="宋体" w:hint="eastAsia"/>
          <w:b/>
          <w:bCs/>
          <w:sz w:val="44"/>
          <w:szCs w:val="44"/>
        </w:rPr>
      </w:pPr>
      <w:r>
        <w:rPr>
          <w:rFonts w:ascii="宋体" w:hAnsi="宋体" w:hint="eastAsia"/>
          <w:b/>
          <w:bCs/>
          <w:sz w:val="44"/>
          <w:szCs w:val="44"/>
        </w:rPr>
        <w:t>《吉林大学珠海学院纵向科研项目绩效支出管理暂行办法》</w:t>
      </w:r>
    </w:p>
    <w:p w:rsidR="00DF5ACB" w:rsidRDefault="00DF5ACB" w:rsidP="00DF5ACB">
      <w:pPr>
        <w:jc w:val="center"/>
        <w:rPr>
          <w:rFonts w:ascii="宋体" w:hAnsi="宋体" w:hint="eastAsia"/>
          <w:b/>
          <w:bCs/>
          <w:sz w:val="44"/>
          <w:szCs w:val="44"/>
        </w:rPr>
      </w:pPr>
      <w:r>
        <w:rPr>
          <w:rFonts w:ascii="宋体" w:hAnsi="宋体" w:hint="eastAsia"/>
          <w:b/>
          <w:bCs/>
          <w:sz w:val="44"/>
          <w:szCs w:val="44"/>
        </w:rPr>
        <w:t>的通知</w:t>
      </w:r>
    </w:p>
    <w:p w:rsidR="00DF5ACB" w:rsidRDefault="00DF5ACB" w:rsidP="00DF5ACB">
      <w:pPr>
        <w:jc w:val="center"/>
        <w:rPr>
          <w:rFonts w:ascii="宋体" w:hAnsi="宋体" w:hint="eastAsia"/>
          <w:b/>
          <w:bCs/>
          <w:sz w:val="44"/>
          <w:szCs w:val="44"/>
        </w:rPr>
      </w:pPr>
    </w:p>
    <w:p w:rsidR="00DF5ACB" w:rsidRPr="00270D3B" w:rsidRDefault="00DF5ACB" w:rsidP="00DF5ACB">
      <w:pPr>
        <w:jc w:val="center"/>
        <w:rPr>
          <w:rFonts w:ascii="华文仿宋" w:eastAsia="华文仿宋" w:hAnsi="华文仿宋" w:hint="eastAsia"/>
          <w:sz w:val="32"/>
          <w:szCs w:val="32"/>
        </w:rPr>
      </w:pPr>
      <w:bookmarkStart w:id="0" w:name="Content"/>
      <w:bookmarkEnd w:id="0"/>
    </w:p>
    <w:p w:rsidR="00DF5ACB" w:rsidRPr="00270D3B" w:rsidRDefault="00DF5ACB" w:rsidP="00DF5ACB">
      <w:pPr>
        <w:rPr>
          <w:rFonts w:ascii="华文仿宋" w:eastAsia="华文仿宋" w:hAnsi="华文仿宋" w:hint="eastAsia"/>
          <w:sz w:val="32"/>
          <w:szCs w:val="32"/>
        </w:rPr>
      </w:pPr>
      <w:r w:rsidRPr="00270D3B">
        <w:rPr>
          <w:rFonts w:ascii="华文仿宋" w:eastAsia="华文仿宋" w:hAnsi="华文仿宋" w:hint="eastAsia"/>
          <w:sz w:val="32"/>
          <w:szCs w:val="32"/>
        </w:rPr>
        <w:t>学校各单位</w:t>
      </w:r>
      <w:r>
        <w:rPr>
          <w:rFonts w:ascii="华文仿宋" w:eastAsia="华文仿宋" w:hAnsi="华文仿宋" w:hint="eastAsia"/>
          <w:sz w:val="32"/>
          <w:szCs w:val="32"/>
        </w:rPr>
        <w:t>：</w:t>
      </w:r>
    </w:p>
    <w:p w:rsidR="00DF5ACB" w:rsidRPr="00270D3B" w:rsidRDefault="00DF5ACB" w:rsidP="00DF5ACB">
      <w:pPr>
        <w:tabs>
          <w:tab w:val="left" w:pos="420"/>
        </w:tabs>
        <w:snapToGrid w:val="0"/>
        <w:spacing w:line="480" w:lineRule="exact"/>
        <w:ind w:firstLine="637"/>
        <w:rPr>
          <w:rFonts w:ascii="华文仿宋" w:eastAsia="华文仿宋" w:hAnsi="华文仿宋" w:hint="eastAsia"/>
          <w:sz w:val="32"/>
          <w:szCs w:val="32"/>
        </w:rPr>
      </w:pPr>
      <w:r w:rsidRPr="00270D3B">
        <w:rPr>
          <w:rFonts w:ascii="华文仿宋" w:eastAsia="华文仿宋" w:hAnsi="华文仿宋" w:hint="eastAsia"/>
          <w:sz w:val="32"/>
          <w:szCs w:val="32"/>
        </w:rPr>
        <w:t>现将《</w:t>
      </w:r>
      <w:r w:rsidRPr="00270D3B">
        <w:rPr>
          <w:rFonts w:ascii="华文仿宋" w:eastAsia="华文仿宋" w:hAnsi="华文仿宋"/>
          <w:sz w:val="32"/>
          <w:szCs w:val="32"/>
        </w:rPr>
        <w:t>吉林大学珠海学院</w:t>
      </w:r>
      <w:r w:rsidRPr="00270D3B">
        <w:rPr>
          <w:rFonts w:ascii="华文仿宋" w:eastAsia="华文仿宋" w:hAnsi="华文仿宋" w:hint="eastAsia"/>
          <w:sz w:val="32"/>
          <w:szCs w:val="32"/>
        </w:rPr>
        <w:t>纵向科研项目绩效支出管理暂行办法》印发给你们，请遵照执行。</w:t>
      </w:r>
    </w:p>
    <w:p w:rsidR="00DF5ACB" w:rsidRDefault="00DF5ACB" w:rsidP="00DF5ACB">
      <w:pPr>
        <w:spacing w:line="480" w:lineRule="exact"/>
        <w:ind w:right="720" w:firstLine="640"/>
        <w:jc w:val="right"/>
        <w:rPr>
          <w:rFonts w:ascii="华文中宋" w:eastAsia="华文中宋" w:hAnsi="华文中宋" w:hint="eastAsia"/>
          <w:b/>
          <w:sz w:val="36"/>
          <w:szCs w:val="36"/>
        </w:rPr>
      </w:pPr>
    </w:p>
    <w:p w:rsidR="00DF5ACB" w:rsidRDefault="00DF5ACB" w:rsidP="00DF5ACB">
      <w:pPr>
        <w:spacing w:line="480" w:lineRule="exact"/>
        <w:ind w:right="720" w:firstLine="640"/>
        <w:jc w:val="right"/>
        <w:rPr>
          <w:rFonts w:ascii="华文中宋" w:eastAsia="华文中宋" w:hAnsi="华文中宋" w:hint="eastAsia"/>
          <w:b/>
          <w:sz w:val="36"/>
          <w:szCs w:val="36"/>
        </w:rPr>
      </w:pPr>
    </w:p>
    <w:p w:rsidR="00DF5ACB" w:rsidRDefault="00DF5ACB" w:rsidP="00DF5ACB">
      <w:pPr>
        <w:spacing w:line="480" w:lineRule="exact"/>
        <w:ind w:right="720" w:firstLine="640"/>
        <w:jc w:val="right"/>
        <w:rPr>
          <w:rFonts w:ascii="华文仿宋" w:eastAsia="华文仿宋" w:hAnsi="华文仿宋"/>
          <w:sz w:val="32"/>
          <w:szCs w:val="32"/>
        </w:rPr>
      </w:pPr>
      <w:r>
        <w:rPr>
          <w:rFonts w:ascii="华文仿宋" w:eastAsia="华文仿宋" w:hAnsi="华文仿宋" w:hint="eastAsia"/>
          <w:sz w:val="32"/>
          <w:szCs w:val="32"/>
        </w:rPr>
        <w:t>吉林大学珠海学院</w:t>
      </w:r>
      <w:r>
        <w:rPr>
          <w:rFonts w:ascii="华文仿宋" w:eastAsia="华文仿宋" w:hAnsi="华文仿宋"/>
          <w:sz w:val="32"/>
          <w:szCs w:val="32"/>
        </w:rPr>
        <w:t xml:space="preserve">                                20</w:t>
      </w:r>
      <w:r>
        <w:rPr>
          <w:rFonts w:ascii="华文仿宋" w:eastAsia="华文仿宋" w:hAnsi="华文仿宋" w:hint="eastAsia"/>
          <w:sz w:val="32"/>
          <w:szCs w:val="32"/>
        </w:rPr>
        <w:t>20年8月25日</w:t>
      </w:r>
    </w:p>
    <w:p w:rsidR="00DF5ACB" w:rsidRPr="00270D3B" w:rsidRDefault="00DF5ACB" w:rsidP="00DF5ACB">
      <w:pPr>
        <w:jc w:val="cente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Default="00DF5ACB" w:rsidP="00DF5ACB">
      <w:pPr>
        <w:rPr>
          <w:rFonts w:ascii="华文中宋" w:eastAsia="华文中宋" w:hAnsi="华文中宋" w:hint="eastAsia"/>
          <w:b/>
          <w:sz w:val="36"/>
          <w:szCs w:val="36"/>
        </w:rPr>
      </w:pPr>
    </w:p>
    <w:p w:rsidR="00DF5ACB" w:rsidRPr="001A4054" w:rsidRDefault="00DF5ACB" w:rsidP="00DF5ACB">
      <w:pPr>
        <w:rPr>
          <w:rFonts w:ascii="华文中宋" w:eastAsia="华文中宋" w:hAnsi="华文中宋" w:hint="eastAsia"/>
          <w:b/>
          <w:sz w:val="36"/>
          <w:szCs w:val="36"/>
        </w:rPr>
      </w:pPr>
    </w:p>
    <w:p w:rsidR="00DF5ACB" w:rsidRPr="001A4054" w:rsidRDefault="00DF5ACB" w:rsidP="00DF5ACB">
      <w:pPr>
        <w:jc w:val="center"/>
        <w:rPr>
          <w:rFonts w:ascii="宋体" w:hAnsi="宋体"/>
          <w:b/>
          <w:sz w:val="44"/>
          <w:szCs w:val="44"/>
        </w:rPr>
      </w:pPr>
      <w:r w:rsidRPr="001A4054">
        <w:rPr>
          <w:rFonts w:ascii="宋体" w:hAnsi="宋体" w:hint="eastAsia"/>
          <w:b/>
          <w:sz w:val="44"/>
          <w:szCs w:val="44"/>
        </w:rPr>
        <w:lastRenderedPageBreak/>
        <w:t>吉林大学珠海学院</w:t>
      </w:r>
    </w:p>
    <w:p w:rsidR="00DF5ACB" w:rsidRPr="001A4054" w:rsidRDefault="00DF5ACB" w:rsidP="00DF5ACB">
      <w:pPr>
        <w:jc w:val="center"/>
        <w:rPr>
          <w:rFonts w:ascii="宋体" w:hAnsi="宋体"/>
          <w:b/>
          <w:sz w:val="44"/>
          <w:szCs w:val="44"/>
        </w:rPr>
      </w:pPr>
      <w:r w:rsidRPr="001A4054">
        <w:rPr>
          <w:rFonts w:ascii="宋体" w:hAnsi="宋体" w:hint="eastAsia"/>
          <w:b/>
          <w:sz w:val="44"/>
          <w:szCs w:val="44"/>
        </w:rPr>
        <w:t>纵向科研项目绩效支出管理暂行办法</w:t>
      </w:r>
      <w:bookmarkStart w:id="1" w:name="_GoBack"/>
      <w:bookmarkEnd w:id="1"/>
    </w:p>
    <w:p w:rsidR="00DF5ACB" w:rsidRDefault="00DF5ACB" w:rsidP="00DF5ACB">
      <w:pPr>
        <w:tabs>
          <w:tab w:val="left" w:pos="420"/>
        </w:tabs>
        <w:snapToGrid w:val="0"/>
        <w:spacing w:before="156" w:line="300" w:lineRule="auto"/>
        <w:ind w:firstLine="597"/>
        <w:rPr>
          <w:rFonts w:ascii="仿宋_GB2312" w:eastAsia="仿宋_GB2312"/>
          <w:sz w:val="30"/>
          <w:szCs w:val="30"/>
        </w:rPr>
      </w:pPr>
    </w:p>
    <w:p w:rsidR="00DF5ACB" w:rsidRDefault="00DF5ACB" w:rsidP="00DF5ACB">
      <w:pPr>
        <w:tabs>
          <w:tab w:val="left" w:pos="420"/>
        </w:tabs>
        <w:snapToGrid w:val="0"/>
        <w:spacing w:line="480" w:lineRule="exact"/>
        <w:ind w:firstLine="637"/>
        <w:rPr>
          <w:rFonts w:ascii="华文仿宋" w:eastAsia="华文仿宋" w:hAnsi="华文仿宋" w:hint="eastAsia"/>
          <w:sz w:val="32"/>
          <w:szCs w:val="32"/>
        </w:rPr>
      </w:pPr>
      <w:r>
        <w:rPr>
          <w:rFonts w:ascii="华文仿宋" w:eastAsia="华文仿宋" w:hAnsi="华文仿宋" w:hint="eastAsia"/>
          <w:sz w:val="32"/>
          <w:szCs w:val="32"/>
        </w:rPr>
        <w:t>为了规范和加强科研项目绩效支出的组织实施和管理，完善科研项目绩效支出管理机制，根据《国务院关于优化科研管理提升科研绩效若干措施的通知》（国发〔2018〕25号）以及广东省省委办公厅、省政府办公厅《关于深化省级预算编制执行监督管理改革的意见》（粤办发〔2018〕17号）、关于印发《广东省财政厅关于省级财政社会科学研究项目资金的管理办法》的通知、广东省政府《关于进一步促进科技创新的若干政策措施》（粤府〔2019〕1号），《广东省财政厅 广东省审计厅关于省级财政科研项目资金的管理监督办法》（粤财</w:t>
      </w:r>
      <w:proofErr w:type="gramStart"/>
      <w:r>
        <w:rPr>
          <w:rFonts w:ascii="华文仿宋" w:eastAsia="华文仿宋" w:hAnsi="华文仿宋" w:hint="eastAsia"/>
          <w:sz w:val="32"/>
          <w:szCs w:val="32"/>
        </w:rPr>
        <w:t>规</w:t>
      </w:r>
      <w:proofErr w:type="gramEnd"/>
      <w:r>
        <w:rPr>
          <w:rFonts w:ascii="华文仿宋" w:eastAsia="华文仿宋" w:hAnsi="华文仿宋" w:hint="eastAsia"/>
          <w:sz w:val="32"/>
          <w:szCs w:val="32"/>
        </w:rPr>
        <w:t>〔2019〕5号）等政策文件，结合我校实际，</w:t>
      </w:r>
      <w:r>
        <w:rPr>
          <w:rFonts w:ascii="华文仿宋" w:eastAsia="华文仿宋" w:hAnsi="华文仿宋"/>
          <w:sz w:val="32"/>
          <w:szCs w:val="32"/>
        </w:rPr>
        <w:t>制定本办法。</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本规定</w:t>
      </w:r>
      <w:r>
        <w:rPr>
          <w:rFonts w:ascii="华文仿宋" w:eastAsia="华文仿宋" w:hAnsi="华文仿宋"/>
          <w:sz w:val="32"/>
          <w:szCs w:val="32"/>
        </w:rPr>
        <w:t>所指</w:t>
      </w:r>
      <w:r>
        <w:rPr>
          <w:rFonts w:ascii="华文仿宋" w:eastAsia="华文仿宋" w:hAnsi="华文仿宋" w:hint="eastAsia"/>
          <w:sz w:val="32"/>
          <w:szCs w:val="32"/>
        </w:rPr>
        <w:t>的科研项目绩效支出</w:t>
      </w:r>
      <w:r>
        <w:rPr>
          <w:rFonts w:ascii="华文仿宋" w:eastAsia="华文仿宋" w:hAnsi="华文仿宋"/>
          <w:sz w:val="32"/>
          <w:szCs w:val="32"/>
        </w:rPr>
        <w:t>是指</w:t>
      </w:r>
      <w:r>
        <w:rPr>
          <w:rFonts w:ascii="华文仿宋" w:eastAsia="华文仿宋" w:hAnsi="华文仿宋" w:hint="eastAsia"/>
          <w:sz w:val="32"/>
          <w:szCs w:val="32"/>
        </w:rPr>
        <w:t>国家及省市等下达的允许编制绩效的纵向科研项目在间接费用中预算的用于提高科研工作绩效安排的相关支出。</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科研项目绩效支出必须在项目</w:t>
      </w:r>
      <w:r>
        <w:rPr>
          <w:rFonts w:ascii="华文仿宋" w:eastAsia="华文仿宋" w:hAnsi="华文仿宋"/>
          <w:sz w:val="32"/>
          <w:szCs w:val="32"/>
        </w:rPr>
        <w:t>绩效考核的基础上</w:t>
      </w:r>
      <w:r>
        <w:rPr>
          <w:rFonts w:ascii="华文仿宋" w:eastAsia="华文仿宋" w:hAnsi="华文仿宋" w:hint="eastAsia"/>
          <w:sz w:val="32"/>
          <w:szCs w:val="32"/>
        </w:rPr>
        <w:t>发放，发放对象为直接参与本项目的人员，绩效支出总额不得超过预算批复额度</w:t>
      </w:r>
      <w:r>
        <w:rPr>
          <w:rFonts w:ascii="华文仿宋" w:eastAsia="华文仿宋" w:hAnsi="华文仿宋"/>
          <w:sz w:val="32"/>
          <w:szCs w:val="32"/>
        </w:rPr>
        <w:t>。</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绩效考核分为项目实施过程绩效考核和结题验收绩效考核。项目实施过程绩效考核是指上级部门（甲方或相关专家）在项目实施过程中对阶段性执行情况进行考核与评价，以年度或阶段绩效考核为主；项目结题验收绩效考核是指对项目完成总体执行情况的考核与评价。</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科研项目绩效考核的主要内容为绩效目标完成情况及成效。包括科研项目进展情况、执行过程中关键共性</w:t>
      </w:r>
      <w:r>
        <w:rPr>
          <w:rFonts w:ascii="华文仿宋" w:eastAsia="华文仿宋" w:hAnsi="华文仿宋" w:hint="eastAsia"/>
          <w:sz w:val="32"/>
          <w:szCs w:val="32"/>
        </w:rPr>
        <w:lastRenderedPageBreak/>
        <w:t>技术开发、技术成果产业化、自主知识产权获得、人才培养、经费预算的执行、经费的使用与管理、项目的经济效益、社会效益和生态效益等。</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实行项目负责</w:t>
      </w:r>
      <w:proofErr w:type="gramStart"/>
      <w:r>
        <w:rPr>
          <w:rFonts w:ascii="华文仿宋" w:eastAsia="华文仿宋" w:hAnsi="华文仿宋" w:hint="eastAsia"/>
          <w:sz w:val="32"/>
          <w:szCs w:val="32"/>
        </w:rPr>
        <w:t>人制</w:t>
      </w:r>
      <w:proofErr w:type="gramEnd"/>
      <w:r>
        <w:rPr>
          <w:rFonts w:ascii="华文仿宋" w:eastAsia="华文仿宋" w:hAnsi="华文仿宋" w:hint="eastAsia"/>
          <w:sz w:val="32"/>
          <w:szCs w:val="32"/>
        </w:rPr>
        <w:t>，项目负责人负责实施所承担项目的绩效考核工作，按规定提交绩效考核的相关材料，并承担相关法律责任。</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各二级单位负责组织实施和监管本部门的科研项目绩效考核工作。</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二级单位绩效考核要成立绩效考核小组，项目组人员不得作为绩效考核小组成员。绩效考核应根据不同科研项目类型和特点，分类组织实施，考核意见与结论作为绩效支出发放的依据。</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hint="eastAsia"/>
          <w:sz w:val="32"/>
          <w:szCs w:val="32"/>
        </w:rPr>
        <w:t>我校为子项目（任务）承担单位的，原则上参加项目主持单位的绩效考核；如项目主持单位没有组织绩效考核，经项目主持单位审批同意后，也可参照我校为项目主持单位进行绩效考核。</w:t>
      </w:r>
    </w:p>
    <w:p w:rsidR="00DF5ACB" w:rsidRDefault="00DF5ACB" w:rsidP="00DF5ACB">
      <w:pPr>
        <w:spacing w:line="480" w:lineRule="exact"/>
        <w:ind w:firstLine="640"/>
        <w:rPr>
          <w:rFonts w:ascii="仿宋" w:eastAsia="仿宋" w:hAnsi="仿宋" w:cs="仿宋"/>
          <w:kern w:val="0"/>
          <w:sz w:val="32"/>
          <w:szCs w:val="32"/>
        </w:rPr>
      </w:pPr>
      <w:r>
        <w:rPr>
          <w:rFonts w:ascii="华文仿宋" w:eastAsia="华文仿宋" w:hAnsi="华文仿宋" w:hint="eastAsia"/>
          <w:sz w:val="32"/>
          <w:szCs w:val="32"/>
        </w:rPr>
        <w:t>项目负责人根据绩效考核情况确定绩效支出发放方案并提出发放申请（附件：年度吉林大学珠海学院纵向科研项目绩效支出发放申请表），经各学院、科研处和财务处审核通过后方可进行。</w:t>
      </w:r>
    </w:p>
    <w:p w:rsidR="00DF5ACB" w:rsidRDefault="00DF5ACB" w:rsidP="00DF5ACB">
      <w:pPr>
        <w:numPr>
          <w:ilvl w:val="0"/>
          <w:numId w:val="1"/>
        </w:numPr>
        <w:tabs>
          <w:tab w:val="left" w:pos="420"/>
        </w:tabs>
        <w:snapToGrid w:val="0"/>
        <w:spacing w:line="480" w:lineRule="exact"/>
        <w:ind w:left="0" w:firstLine="561"/>
        <w:rPr>
          <w:rFonts w:ascii="仿宋" w:eastAsia="仿宋" w:hAnsi="仿宋" w:cs="仿宋"/>
          <w:kern w:val="0"/>
          <w:sz w:val="32"/>
          <w:szCs w:val="32"/>
        </w:rPr>
      </w:pPr>
      <w:r>
        <w:rPr>
          <w:rFonts w:ascii="华文仿宋" w:eastAsia="华文仿宋" w:hAnsi="华文仿宋" w:hint="eastAsia"/>
          <w:sz w:val="32"/>
          <w:szCs w:val="32"/>
        </w:rPr>
        <w:t>科研项目</w:t>
      </w:r>
      <w:r>
        <w:rPr>
          <w:rFonts w:ascii="华文仿宋" w:eastAsia="华文仿宋" w:hAnsi="华文仿宋"/>
          <w:sz w:val="32"/>
          <w:szCs w:val="32"/>
        </w:rPr>
        <w:t>绩效支出发放需根据</w:t>
      </w:r>
      <w:r>
        <w:rPr>
          <w:rFonts w:ascii="华文仿宋" w:eastAsia="华文仿宋" w:hAnsi="华文仿宋" w:hint="eastAsia"/>
          <w:sz w:val="32"/>
          <w:szCs w:val="32"/>
        </w:rPr>
        <w:t>项目</w:t>
      </w:r>
      <w:r>
        <w:rPr>
          <w:rFonts w:ascii="华文仿宋" w:eastAsia="华文仿宋" w:hAnsi="华文仿宋"/>
          <w:sz w:val="32"/>
          <w:szCs w:val="32"/>
        </w:rPr>
        <w:t>预算情况和执行进度分阶段分年度进行，</w:t>
      </w:r>
      <w:r>
        <w:rPr>
          <w:rFonts w:ascii="华文仿宋" w:eastAsia="华文仿宋" w:hAnsi="华文仿宋" w:hint="eastAsia"/>
          <w:sz w:val="32"/>
          <w:szCs w:val="32"/>
        </w:rPr>
        <w:t>绩效考核通过后方可发放，</w:t>
      </w:r>
      <w:r>
        <w:rPr>
          <w:rFonts w:ascii="华文仿宋" w:eastAsia="华文仿宋" w:hAnsi="华文仿宋"/>
          <w:sz w:val="32"/>
          <w:szCs w:val="32"/>
        </w:rPr>
        <w:t>不得一次全额发放，</w:t>
      </w:r>
      <w:r>
        <w:rPr>
          <w:rFonts w:ascii="华文仿宋" w:eastAsia="华文仿宋" w:hAnsi="华文仿宋" w:hint="eastAsia"/>
          <w:sz w:val="32"/>
          <w:szCs w:val="32"/>
        </w:rPr>
        <w:t>每</w:t>
      </w:r>
      <w:r>
        <w:rPr>
          <w:rFonts w:ascii="华文仿宋" w:eastAsia="华文仿宋" w:hAnsi="华文仿宋"/>
          <w:sz w:val="32"/>
          <w:szCs w:val="32"/>
        </w:rPr>
        <w:t>年</w:t>
      </w:r>
      <w:r>
        <w:rPr>
          <w:rFonts w:ascii="华文仿宋" w:eastAsia="华文仿宋" w:hAnsi="华文仿宋" w:hint="eastAsia"/>
          <w:sz w:val="32"/>
          <w:szCs w:val="32"/>
        </w:rPr>
        <w:t>申请</w:t>
      </w:r>
      <w:r>
        <w:rPr>
          <w:rFonts w:ascii="华文仿宋" w:eastAsia="华文仿宋" w:hAnsi="华文仿宋"/>
          <w:sz w:val="32"/>
          <w:szCs w:val="32"/>
        </w:rPr>
        <w:t>不超过</w:t>
      </w:r>
      <w:r>
        <w:rPr>
          <w:rFonts w:ascii="华文仿宋" w:eastAsia="华文仿宋" w:hAnsi="华文仿宋" w:hint="eastAsia"/>
          <w:sz w:val="32"/>
          <w:szCs w:val="32"/>
        </w:rPr>
        <w:t>2</w:t>
      </w:r>
      <w:r>
        <w:rPr>
          <w:rFonts w:ascii="华文仿宋" w:eastAsia="华文仿宋" w:hAnsi="华文仿宋"/>
          <w:sz w:val="32"/>
          <w:szCs w:val="32"/>
        </w:rPr>
        <w:t>次</w:t>
      </w:r>
      <w:r>
        <w:rPr>
          <w:rFonts w:ascii="华文仿宋" w:eastAsia="华文仿宋" w:hAnsi="华文仿宋" w:hint="eastAsia"/>
          <w:sz w:val="32"/>
          <w:szCs w:val="32"/>
        </w:rPr>
        <w:t>，项目结题前绩效支出不得高于50%</w:t>
      </w:r>
      <w:r>
        <w:rPr>
          <w:rFonts w:ascii="华文仿宋" w:eastAsia="华文仿宋" w:hAnsi="华文仿宋"/>
          <w:sz w:val="32"/>
          <w:szCs w:val="32"/>
        </w:rPr>
        <w:t>。</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仿宋" w:eastAsia="仿宋" w:hAnsi="仿宋" w:cs="仿宋" w:hint="eastAsia"/>
          <w:kern w:val="0"/>
          <w:sz w:val="32"/>
          <w:szCs w:val="32"/>
        </w:rPr>
        <w:t>纵向科研经费分直接费用和间接费用。直接费用主要包含设备费、材料费、测试化验加工费、燃料动力费、差旅费/会议费/国际合作交流费、出版/文献/信息传播/知识产权事务费、劳务费等。间接费用是指项目承担单位在组织实施项目过程中发生的无法直接列支的相关费用，主要用</w:t>
      </w:r>
      <w:r>
        <w:rPr>
          <w:rFonts w:ascii="仿宋" w:eastAsia="仿宋" w:hAnsi="仿宋" w:cs="仿宋" w:hint="eastAsia"/>
          <w:kern w:val="0"/>
          <w:sz w:val="32"/>
          <w:szCs w:val="32"/>
        </w:rPr>
        <w:lastRenderedPageBreak/>
        <w:t>于补偿项目承担单位为了项目研究提供的现有仪器设备及房屋，水、电、气、暖消耗，有关提高科研管理、服务能力等费用，以及绩效支出等，绩效支出在间接费用中不设比例限制。</w:t>
      </w:r>
    </w:p>
    <w:p w:rsidR="00DF5ACB" w:rsidRDefault="00DF5ACB" w:rsidP="00DF5ACB">
      <w:pPr>
        <w:tabs>
          <w:tab w:val="left" w:pos="420"/>
        </w:tabs>
        <w:snapToGrid w:val="0"/>
        <w:spacing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间接费用按照不超过项目直接费用扣除设备购置费后的一定比例核定，与项目承担单位信用等级挂钩，并实行总额控制。同时，间接经费不得调剂。</w:t>
      </w:r>
    </w:p>
    <w:p w:rsidR="00DF5ACB" w:rsidRDefault="00DF5ACB" w:rsidP="00DF5ACB">
      <w:pPr>
        <w:tabs>
          <w:tab w:val="left" w:pos="420"/>
        </w:tabs>
        <w:snapToGrid w:val="0"/>
        <w:spacing w:line="480" w:lineRule="exact"/>
        <w:ind w:firstLineChars="200" w:firstLine="640"/>
        <w:rPr>
          <w:rFonts w:ascii="仿宋" w:eastAsia="仿宋" w:hAnsi="仿宋" w:cs="仿宋"/>
          <w:kern w:val="0"/>
          <w:sz w:val="32"/>
          <w:szCs w:val="32"/>
        </w:rPr>
      </w:pPr>
      <w:r>
        <w:rPr>
          <w:rFonts w:ascii="仿宋" w:eastAsia="仿宋" w:hAnsi="仿宋" w:cs="仿宋"/>
          <w:kern w:val="0"/>
          <w:sz w:val="32"/>
          <w:szCs w:val="32"/>
        </w:rPr>
        <w:t>绩效支出安排与科研人员在项目工作中的实际贡献挂钩，适当向一线科研人员倾斜。绩效支出不单设比例限制，纳入单位奖励性绩效单列管理，不计</w:t>
      </w:r>
      <w:proofErr w:type="gramStart"/>
      <w:r>
        <w:rPr>
          <w:rFonts w:ascii="仿宋" w:eastAsia="仿宋" w:hAnsi="仿宋" w:cs="仿宋"/>
          <w:kern w:val="0"/>
          <w:sz w:val="32"/>
          <w:szCs w:val="32"/>
        </w:rPr>
        <w:t>入单位</w:t>
      </w:r>
      <w:proofErr w:type="gramEnd"/>
      <w:r>
        <w:rPr>
          <w:rFonts w:ascii="仿宋" w:eastAsia="仿宋" w:hAnsi="仿宋" w:cs="仿宋"/>
          <w:kern w:val="0"/>
          <w:sz w:val="32"/>
          <w:szCs w:val="32"/>
        </w:rPr>
        <w:t>绩效工资总量调控基数。</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仿宋" w:eastAsia="仿宋" w:hAnsi="仿宋" w:cs="仿宋" w:hint="eastAsia"/>
          <w:kern w:val="0"/>
          <w:sz w:val="32"/>
          <w:szCs w:val="32"/>
        </w:rPr>
        <w:t>间接费用按照不超过项目直接费用扣除设备购置费后的一定比例核定，与项目承担单位信用等级挂钩，并实行总额控制。具体比例如下：</w:t>
      </w:r>
    </w:p>
    <w:p w:rsidR="00DF5ACB" w:rsidRDefault="00DF5ACB" w:rsidP="00DF5ACB">
      <w:pPr>
        <w:tabs>
          <w:tab w:val="left" w:pos="420"/>
        </w:tabs>
        <w:snapToGrid w:val="0"/>
        <w:spacing w:line="480" w:lineRule="exact"/>
        <w:ind w:firstLineChars="100" w:firstLine="320"/>
        <w:rPr>
          <w:rFonts w:ascii="仿宋" w:eastAsia="仿宋" w:hAnsi="仿宋" w:cs="仿宋"/>
          <w:kern w:val="0"/>
          <w:sz w:val="32"/>
          <w:szCs w:val="32"/>
        </w:rPr>
      </w:pPr>
      <w:r>
        <w:rPr>
          <w:rFonts w:ascii="仿宋" w:eastAsia="仿宋" w:hAnsi="仿宋" w:cs="仿宋" w:hint="eastAsia"/>
          <w:kern w:val="0"/>
          <w:sz w:val="32"/>
          <w:szCs w:val="32"/>
        </w:rPr>
        <w:t>（一）自然科学类项目</w:t>
      </w:r>
    </w:p>
    <w:p w:rsidR="00DF5ACB" w:rsidRDefault="00DF5ACB" w:rsidP="00DF5ACB">
      <w:pPr>
        <w:tabs>
          <w:tab w:val="left" w:pos="420"/>
        </w:tabs>
        <w:snapToGrid w:val="0"/>
        <w:spacing w:line="480" w:lineRule="exact"/>
        <w:ind w:leftChars="304" w:left="638"/>
        <w:rPr>
          <w:rFonts w:ascii="仿宋" w:eastAsia="仿宋" w:hAnsi="仿宋" w:cs="仿宋"/>
          <w:kern w:val="0"/>
          <w:sz w:val="32"/>
          <w:szCs w:val="32"/>
        </w:rPr>
      </w:pPr>
      <w:r>
        <w:rPr>
          <w:rFonts w:ascii="仿宋" w:eastAsia="仿宋" w:hAnsi="仿宋" w:cs="仿宋" w:hint="eastAsia"/>
          <w:kern w:val="0"/>
          <w:sz w:val="32"/>
          <w:szCs w:val="32"/>
        </w:rPr>
        <w:t>1.科技研究类项目。</w:t>
      </w:r>
      <w:r>
        <w:rPr>
          <w:rFonts w:ascii="仿宋" w:eastAsia="仿宋" w:hAnsi="仿宋" w:cs="仿宋" w:hint="eastAsia"/>
          <w:kern w:val="0"/>
          <w:sz w:val="32"/>
          <w:szCs w:val="32"/>
        </w:rPr>
        <w:br/>
        <w:t>（1）500万元及以下的部分为不超过20%；</w:t>
      </w:r>
      <w:r>
        <w:rPr>
          <w:rFonts w:ascii="仿宋" w:eastAsia="仿宋" w:hAnsi="仿宋" w:cs="仿宋" w:hint="eastAsia"/>
          <w:kern w:val="0"/>
          <w:sz w:val="32"/>
          <w:szCs w:val="32"/>
        </w:rPr>
        <w:br/>
        <w:t>（2）500万元至1000万元的部分为不超过15%；</w:t>
      </w:r>
      <w:r>
        <w:rPr>
          <w:rFonts w:ascii="仿宋" w:eastAsia="仿宋" w:hAnsi="仿宋" w:cs="仿宋" w:hint="eastAsia"/>
          <w:kern w:val="0"/>
          <w:sz w:val="32"/>
          <w:szCs w:val="32"/>
        </w:rPr>
        <w:br/>
        <w:t>（3）1000万元以上的部分为不超过13％。</w:t>
      </w:r>
    </w:p>
    <w:p w:rsidR="00DF5ACB" w:rsidRDefault="00DF5ACB" w:rsidP="00DF5ACB">
      <w:pPr>
        <w:tabs>
          <w:tab w:val="left" w:pos="420"/>
        </w:tabs>
        <w:snapToGrid w:val="0"/>
        <w:spacing w:line="48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2.试验设备依赖程度低和实验材料耗费少的基础研究、软件开发、集成电路设计、科研咨询、科技服务、软科学研究、智库等智力密集型项目。</w:t>
      </w:r>
    </w:p>
    <w:p w:rsidR="00DF5ACB" w:rsidRDefault="00DF5ACB" w:rsidP="00DF5ACB">
      <w:pPr>
        <w:tabs>
          <w:tab w:val="left" w:pos="420"/>
        </w:tabs>
        <w:snapToGrid w:val="0"/>
        <w:spacing w:line="48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（1）500万元以下的部分为不超过30%；</w:t>
      </w:r>
    </w:p>
    <w:p w:rsidR="00DF5ACB" w:rsidRDefault="00DF5ACB" w:rsidP="00DF5ACB">
      <w:pPr>
        <w:tabs>
          <w:tab w:val="left" w:pos="420"/>
        </w:tabs>
        <w:snapToGrid w:val="0"/>
        <w:spacing w:line="48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（2）500万元至1000万元的部分为不超过25%；</w:t>
      </w:r>
    </w:p>
    <w:p w:rsidR="00DF5ACB" w:rsidRDefault="00DF5ACB" w:rsidP="00DF5ACB">
      <w:pPr>
        <w:tabs>
          <w:tab w:val="left" w:pos="420"/>
        </w:tabs>
        <w:snapToGrid w:val="0"/>
        <w:spacing w:line="480" w:lineRule="exact"/>
        <w:ind w:firstLineChars="200" w:firstLine="640"/>
        <w:rPr>
          <w:rFonts w:ascii="华文仿宋" w:eastAsia="华文仿宋" w:hAnsi="华文仿宋"/>
          <w:sz w:val="32"/>
          <w:szCs w:val="32"/>
        </w:rPr>
      </w:pPr>
      <w:r>
        <w:rPr>
          <w:rFonts w:ascii="仿宋" w:eastAsia="仿宋" w:hAnsi="仿宋" w:cs="仿宋" w:hint="eastAsia"/>
          <w:kern w:val="0"/>
          <w:sz w:val="32"/>
          <w:szCs w:val="32"/>
        </w:rPr>
        <w:t>（3）1000万元以上的部分为不超过20%。</w:t>
      </w:r>
    </w:p>
    <w:p w:rsidR="00DF5ACB" w:rsidRDefault="00DF5ACB" w:rsidP="00DF5ACB">
      <w:pPr>
        <w:tabs>
          <w:tab w:val="left" w:pos="420"/>
        </w:tabs>
        <w:snapToGrid w:val="0"/>
        <w:spacing w:line="480" w:lineRule="exact"/>
        <w:ind w:firstLineChars="100" w:firstLine="320"/>
        <w:rPr>
          <w:rFonts w:ascii="仿宋" w:eastAsia="仿宋" w:hAnsi="仿宋" w:cs="仿宋"/>
          <w:kern w:val="0"/>
          <w:sz w:val="32"/>
          <w:szCs w:val="32"/>
        </w:rPr>
      </w:pPr>
      <w:r>
        <w:rPr>
          <w:rFonts w:ascii="仿宋" w:eastAsia="仿宋" w:hAnsi="仿宋" w:cs="仿宋" w:hint="eastAsia"/>
          <w:kern w:val="0"/>
          <w:sz w:val="32"/>
          <w:szCs w:val="32"/>
        </w:rPr>
        <w:t>（二）社科类项目</w:t>
      </w:r>
    </w:p>
    <w:p w:rsidR="00DF5ACB" w:rsidRDefault="00DF5ACB" w:rsidP="00DF5ACB">
      <w:pPr>
        <w:tabs>
          <w:tab w:val="left" w:pos="420"/>
        </w:tabs>
        <w:snapToGrid w:val="0"/>
        <w:spacing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1.50万元及以下部分为30%;</w:t>
      </w:r>
    </w:p>
    <w:p w:rsidR="00DF5ACB" w:rsidRDefault="00DF5ACB" w:rsidP="00DF5ACB">
      <w:pPr>
        <w:tabs>
          <w:tab w:val="left" w:pos="420"/>
        </w:tabs>
        <w:snapToGrid w:val="0"/>
        <w:spacing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2.超过50万元至500万元的部分为20%;</w:t>
      </w:r>
    </w:p>
    <w:p w:rsidR="00DF5ACB" w:rsidRDefault="00DF5ACB" w:rsidP="00DF5ACB">
      <w:pPr>
        <w:tabs>
          <w:tab w:val="left" w:pos="420"/>
        </w:tabs>
        <w:snapToGrid w:val="0"/>
        <w:spacing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3.超过500万元的部分为13%。</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仿宋" w:eastAsia="仿宋" w:hAnsi="仿宋" w:cs="仿宋" w:hint="eastAsia"/>
          <w:kern w:val="0"/>
          <w:sz w:val="32"/>
          <w:szCs w:val="32"/>
        </w:rPr>
        <w:lastRenderedPageBreak/>
        <w:t>关于项目中对绩效支出有具体要求的，按照要求执行，无要求的按照本办法执行，各级补贴类项目、学校创新培育项目及学校资助类等项目不适用本办法。</w:t>
      </w:r>
    </w:p>
    <w:p w:rsidR="00DF5ACB" w:rsidRDefault="00DF5ACB" w:rsidP="00DF5ACB">
      <w:pPr>
        <w:numPr>
          <w:ilvl w:val="0"/>
          <w:numId w:val="1"/>
        </w:numPr>
        <w:tabs>
          <w:tab w:val="left" w:pos="420"/>
        </w:tabs>
        <w:snapToGrid w:val="0"/>
        <w:spacing w:line="480" w:lineRule="exact"/>
        <w:ind w:left="0" w:firstLine="561"/>
        <w:rPr>
          <w:rFonts w:ascii="华文仿宋" w:eastAsia="华文仿宋" w:hAnsi="华文仿宋"/>
          <w:sz w:val="32"/>
          <w:szCs w:val="32"/>
        </w:rPr>
      </w:pPr>
      <w:r>
        <w:rPr>
          <w:rFonts w:ascii="华文仿宋" w:eastAsia="华文仿宋" w:hAnsi="华文仿宋"/>
          <w:sz w:val="32"/>
          <w:szCs w:val="32"/>
        </w:rPr>
        <w:t>本办法中的未尽事宜，按国家相关规定执行。本办法自发布之日起施行</w:t>
      </w:r>
      <w:r>
        <w:rPr>
          <w:rFonts w:ascii="华文仿宋" w:eastAsia="华文仿宋" w:hAnsi="华文仿宋" w:hint="eastAsia"/>
          <w:sz w:val="32"/>
          <w:szCs w:val="32"/>
        </w:rPr>
        <w:t>，</w:t>
      </w:r>
      <w:r>
        <w:rPr>
          <w:rFonts w:ascii="华文仿宋" w:eastAsia="华文仿宋" w:hAnsi="华文仿宋"/>
          <w:sz w:val="32"/>
          <w:szCs w:val="32"/>
        </w:rPr>
        <w:t>由</w:t>
      </w:r>
      <w:r>
        <w:rPr>
          <w:rFonts w:ascii="华文仿宋" w:eastAsia="华文仿宋" w:hAnsi="华文仿宋" w:hint="eastAsia"/>
          <w:sz w:val="32"/>
          <w:szCs w:val="32"/>
        </w:rPr>
        <w:t>科研处、财务处</w:t>
      </w:r>
      <w:r>
        <w:rPr>
          <w:rFonts w:ascii="华文仿宋" w:eastAsia="华文仿宋" w:hAnsi="华文仿宋"/>
          <w:sz w:val="32"/>
          <w:szCs w:val="32"/>
        </w:rPr>
        <w:t>负责解释。</w:t>
      </w:r>
    </w:p>
    <w:p w:rsidR="00DF5ACB" w:rsidRPr="006F651A" w:rsidRDefault="00DF5ACB" w:rsidP="00DF5ACB">
      <w:pPr>
        <w:jc w:val="center"/>
        <w:rPr>
          <w:rFonts w:ascii="华文中宋" w:eastAsia="华文中宋" w:hAnsi="华文中宋" w:hint="eastAsia"/>
          <w:b/>
          <w:sz w:val="36"/>
          <w:szCs w:val="36"/>
        </w:rPr>
      </w:pPr>
    </w:p>
    <w:p w:rsidR="00DF5ACB" w:rsidRPr="00DF5ACB" w:rsidRDefault="00DF5ACB" w:rsidP="00DF5ACB">
      <w:pPr>
        <w:spacing w:line="440" w:lineRule="exact"/>
        <w:ind w:leftChars="350" w:left="1695" w:hangingChars="300" w:hanging="960"/>
        <w:rPr>
          <w:rFonts w:ascii="华文仿宋" w:eastAsia="华文仿宋" w:hAnsi="华文仿宋" w:hint="eastAsia"/>
          <w:sz w:val="32"/>
          <w:szCs w:val="32"/>
        </w:rPr>
      </w:pPr>
      <w:r w:rsidRPr="008377B4">
        <w:rPr>
          <w:rFonts w:ascii="华文仿宋" w:eastAsia="华文仿宋" w:hAnsi="华文仿宋" w:hint="eastAsia"/>
          <w:sz w:val="32"/>
          <w:szCs w:val="32"/>
        </w:rPr>
        <w:t>附件：</w:t>
      </w:r>
      <w:r>
        <w:rPr>
          <w:rFonts w:ascii="华文仿宋" w:eastAsia="华文仿宋" w:hAnsi="华文仿宋" w:hint="eastAsia"/>
          <w:sz w:val="32"/>
          <w:szCs w:val="32"/>
        </w:rPr>
        <w:t>年度吉林大学珠海学院纵向科研项目绩效支出发放申请表(见下载中心)</w:t>
      </w:r>
    </w:p>
    <w:p w:rsidR="00DF5ACB" w:rsidRDefault="00DF5ACB" w:rsidP="00DF5ACB">
      <w:pPr>
        <w:spacing w:line="440" w:lineRule="exact"/>
        <w:ind w:firstLineChars="200" w:firstLine="883"/>
        <w:rPr>
          <w:rFonts w:ascii="宋体" w:hAnsi="宋体" w:hint="eastAsia"/>
          <w:b/>
          <w:bCs/>
          <w:sz w:val="44"/>
          <w:szCs w:val="44"/>
        </w:rPr>
      </w:pPr>
    </w:p>
    <w:p w:rsidR="00DF5ACB" w:rsidRDefault="00DF5ACB" w:rsidP="00DF5ACB">
      <w:pPr>
        <w:spacing w:line="440" w:lineRule="exact"/>
        <w:ind w:firstLineChars="200" w:firstLine="883"/>
        <w:rPr>
          <w:rFonts w:ascii="宋体" w:hAnsi="宋体" w:hint="eastAsia"/>
          <w:b/>
          <w:bCs/>
          <w:sz w:val="44"/>
          <w:szCs w:val="44"/>
        </w:rPr>
      </w:pPr>
    </w:p>
    <w:p w:rsidR="00DF5ACB" w:rsidRDefault="00DF5ACB" w:rsidP="00DF5ACB">
      <w:pPr>
        <w:spacing w:line="440" w:lineRule="exact"/>
        <w:ind w:firstLineChars="200" w:firstLine="883"/>
        <w:rPr>
          <w:rFonts w:ascii="宋体" w:hAnsi="宋体" w:hint="eastAsia"/>
          <w:b/>
          <w:bCs/>
          <w:sz w:val="44"/>
          <w:szCs w:val="44"/>
        </w:rPr>
      </w:pPr>
    </w:p>
    <w:p w:rsidR="00DF5ACB" w:rsidRDefault="00DF5ACB" w:rsidP="00DF5ACB">
      <w:pPr>
        <w:spacing w:line="440" w:lineRule="exact"/>
        <w:ind w:firstLineChars="200" w:firstLine="883"/>
        <w:rPr>
          <w:rFonts w:ascii="宋体" w:hAnsi="宋体" w:hint="eastAsia"/>
          <w:b/>
          <w:bCs/>
          <w:sz w:val="44"/>
          <w:szCs w:val="44"/>
        </w:rPr>
      </w:pPr>
    </w:p>
    <w:p w:rsidR="00DF5ACB" w:rsidRDefault="00DF5ACB" w:rsidP="00DF5ACB">
      <w:pPr>
        <w:spacing w:line="440" w:lineRule="exact"/>
        <w:rPr>
          <w:rFonts w:ascii="宋体" w:hAnsi="宋体" w:hint="eastAsia"/>
          <w:b/>
          <w:bCs/>
          <w:sz w:val="44"/>
          <w:szCs w:val="44"/>
        </w:rPr>
      </w:pPr>
    </w:p>
    <w:p w:rsidR="00DF5ACB" w:rsidRDefault="00DF5ACB" w:rsidP="00DF5ACB">
      <w:pPr>
        <w:spacing w:line="440" w:lineRule="exact"/>
        <w:ind w:firstLineChars="200" w:firstLine="883"/>
        <w:rPr>
          <w:rFonts w:ascii="宋体" w:hAnsi="宋体" w:hint="eastAsia"/>
          <w:b/>
          <w:bCs/>
          <w:sz w:val="44"/>
          <w:szCs w:val="44"/>
        </w:rPr>
      </w:pPr>
    </w:p>
    <w:p w:rsidR="00DF5ACB" w:rsidRDefault="00DF5ACB" w:rsidP="00DF5ACB">
      <w:pPr>
        <w:spacing w:line="440" w:lineRule="exact"/>
        <w:ind w:firstLineChars="200" w:firstLine="883"/>
        <w:rPr>
          <w:rFonts w:ascii="宋体" w:hAnsi="宋体" w:hint="eastAsia"/>
          <w:b/>
          <w:bCs/>
          <w:sz w:val="44"/>
          <w:szCs w:val="44"/>
        </w:rPr>
      </w:pPr>
    </w:p>
    <w:p w:rsidR="00DF5ACB" w:rsidRDefault="00DF5ACB" w:rsidP="00DF5ACB">
      <w:pPr>
        <w:spacing w:line="440" w:lineRule="exact"/>
        <w:rPr>
          <w:rFonts w:ascii="宋体" w:hAnsi="宋体" w:hint="eastAsia"/>
          <w:b/>
          <w:bCs/>
          <w:sz w:val="44"/>
          <w:szCs w:val="44"/>
        </w:rPr>
      </w:pPr>
    </w:p>
    <w:p w:rsidR="00DF5ACB" w:rsidRDefault="00DF5ACB" w:rsidP="00DF5ACB">
      <w:pPr>
        <w:spacing w:line="4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p>
    <w:p w:rsidR="00DF5ACB" w:rsidRDefault="00DF5ACB" w:rsidP="00DF5ACB">
      <w:pPr>
        <w:spacing w:line="440" w:lineRule="exact"/>
        <w:ind w:firstLineChars="200" w:firstLine="640"/>
        <w:rPr>
          <w:rFonts w:ascii="仿宋_GB2312" w:eastAsia="仿宋_GB2312" w:hAnsi="仿宋" w:cs="仿宋_GB2312" w:hint="eastAsia"/>
          <w:bCs/>
          <w:sz w:val="32"/>
          <w:szCs w:val="32"/>
        </w:rPr>
      </w:pPr>
      <w:r>
        <w:rPr>
          <w:rFonts w:ascii="仿宋_GB2312" w:eastAsia="仿宋_GB2312" w:hAnsi="仿宋_GB2312" w:hint="eastAsia"/>
          <w:sz w:val="32"/>
          <w:szCs w:val="32"/>
        </w:rPr>
        <w:t xml:space="preserve">                      </w:t>
      </w:r>
    </w:p>
    <w:p w:rsidR="00DF5ACB" w:rsidRDefault="00DF5ACB" w:rsidP="00DF5ACB">
      <w:pPr>
        <w:spacing w:line="440" w:lineRule="exact"/>
        <w:ind w:firstLineChars="200" w:firstLine="640"/>
        <w:rPr>
          <w:rFonts w:ascii="仿宋_GB2312" w:eastAsia="仿宋_GB2312" w:hAnsi="仿宋" w:cs="仿宋_GB2312" w:hint="eastAsia"/>
          <w:bCs/>
          <w:sz w:val="32"/>
          <w:szCs w:val="32"/>
        </w:rPr>
      </w:pPr>
    </w:p>
    <w:p w:rsidR="00DF5ACB" w:rsidRDefault="00DF5ACB" w:rsidP="00DF5ACB">
      <w:pPr>
        <w:spacing w:line="440" w:lineRule="exact"/>
        <w:ind w:firstLineChars="200" w:firstLine="640"/>
        <w:rPr>
          <w:rFonts w:ascii="仿宋_GB2312" w:eastAsia="仿宋_GB2312" w:hint="eastAsia"/>
          <w:sz w:val="32"/>
          <w:szCs w:val="32"/>
        </w:rPr>
      </w:pPr>
    </w:p>
    <w:p w:rsidR="00DF5ACB" w:rsidRDefault="00DF5ACB" w:rsidP="00DF5ACB">
      <w:pPr>
        <w:spacing w:line="440" w:lineRule="exact"/>
        <w:rPr>
          <w:rFonts w:ascii="仿宋_GB2312" w:eastAsia="仿宋_GB2312" w:hint="eastAsia"/>
          <w:sz w:val="32"/>
          <w:szCs w:val="32"/>
        </w:rPr>
      </w:pPr>
    </w:p>
    <w:p w:rsidR="00DF5ACB" w:rsidRDefault="00DF5ACB" w:rsidP="00DF5ACB">
      <w:pPr>
        <w:spacing w:line="440" w:lineRule="exact"/>
        <w:rPr>
          <w:rFonts w:ascii="仿宋_GB2312" w:eastAsia="仿宋_GB2312" w:hint="eastAsia"/>
          <w:sz w:val="32"/>
          <w:szCs w:val="32"/>
        </w:rPr>
      </w:pPr>
    </w:p>
    <w:p w:rsidR="00DF5ACB" w:rsidRDefault="00DF5ACB" w:rsidP="00DF5ACB">
      <w:pPr>
        <w:spacing w:line="440" w:lineRule="exact"/>
        <w:rPr>
          <w:rFonts w:ascii="仿宋_GB2312" w:eastAsia="仿宋_GB2312" w:hint="eastAsia"/>
          <w:sz w:val="28"/>
          <w:szCs w:val="28"/>
        </w:rPr>
      </w:pPr>
    </w:p>
    <w:p w:rsidR="00DF5ACB" w:rsidRDefault="00DF5ACB" w:rsidP="00DF5ACB">
      <w:pPr>
        <w:spacing w:line="440" w:lineRule="exact"/>
        <w:rPr>
          <w:rFonts w:ascii="仿宋_GB2312" w:eastAsia="仿宋_GB2312" w:hint="eastAsia"/>
          <w:sz w:val="28"/>
          <w:szCs w:val="28"/>
        </w:rPr>
      </w:pPr>
    </w:p>
    <w:p w:rsidR="00DF5ACB" w:rsidRPr="008377B4" w:rsidRDefault="00DF5ACB" w:rsidP="00DF5ACB">
      <w:pPr>
        <w:spacing w:line="440" w:lineRule="exact"/>
        <w:rPr>
          <w:rFonts w:ascii="仿宋_GB2312" w:eastAsia="仿宋_GB2312" w:hint="eastAsia"/>
          <w:sz w:val="28"/>
          <w:szCs w:val="28"/>
        </w:rPr>
      </w:pPr>
    </w:p>
    <w:p w:rsidR="00DF5ACB" w:rsidRPr="00785DFE" w:rsidRDefault="00DF5ACB" w:rsidP="00DF5ACB">
      <w:pPr>
        <w:spacing w:line="440" w:lineRule="exact"/>
        <w:rPr>
          <w:rFonts w:ascii="仿宋_GB2312" w:eastAsia="仿宋_GB2312" w:hint="eastAsia"/>
          <w:sz w:val="28"/>
          <w:szCs w:val="28"/>
        </w:rPr>
      </w:pPr>
      <w:r w:rsidRPr="00785DFE">
        <w:rPr>
          <w:sz w:val="28"/>
          <w:szCs w:val="28"/>
          <w:lang w:val="en-US" w:eastAsia="zh-CN"/>
        </w:rPr>
        <w:pict>
          <v:rect id="矩形 1" o:spid="_x0000_i1025" style="width:538.65pt;height:1.2pt;mso-position-horizontal-relative:page;mso-position-vertical-relative:page" o:hrpct="0" o:hralign="center" o:hrstd="t" o:hrnoshade="t" o:hr="t" fillcolor="black" stroked="f"/>
        </w:pict>
      </w:r>
    </w:p>
    <w:p w:rsidR="00DF5ACB" w:rsidRPr="00785DFE" w:rsidRDefault="00DF5ACB" w:rsidP="00DF5ACB">
      <w:pPr>
        <w:spacing w:line="440" w:lineRule="exact"/>
        <w:rPr>
          <w:rFonts w:ascii="仿宋_GB2312" w:eastAsia="仿宋_GB2312" w:hint="eastAsia"/>
          <w:sz w:val="28"/>
          <w:szCs w:val="28"/>
          <w:lang w:val="en-US" w:eastAsia="zh-CN"/>
        </w:rPr>
      </w:pPr>
      <w:r w:rsidRPr="00785DFE">
        <w:rPr>
          <w:rFonts w:hint="eastAsia"/>
          <w:sz w:val="28"/>
          <w:szCs w:val="28"/>
          <w:lang w:val="en-US" w:eastAsia="zh-CN"/>
        </w:rPr>
        <w:t xml:space="preserve">  </w:t>
      </w:r>
      <w:r w:rsidRPr="00785DFE">
        <w:rPr>
          <w:rFonts w:ascii="仿宋_GB2312" w:eastAsia="仿宋_GB2312" w:hint="eastAsia"/>
          <w:sz w:val="28"/>
          <w:szCs w:val="28"/>
          <w:lang w:val="en-US" w:eastAsia="zh-CN"/>
        </w:rPr>
        <w:t>抄送：</w:t>
      </w:r>
    </w:p>
    <w:p w:rsidR="00DF5ACB" w:rsidRPr="00785DFE" w:rsidRDefault="00DF5ACB" w:rsidP="00DF5ACB">
      <w:pPr>
        <w:spacing w:line="440" w:lineRule="exact"/>
        <w:rPr>
          <w:sz w:val="28"/>
          <w:szCs w:val="28"/>
          <w:lang w:val="en-US" w:eastAsia="zh-CN"/>
        </w:rPr>
      </w:pPr>
      <w:r w:rsidRPr="00785DFE">
        <w:rPr>
          <w:sz w:val="28"/>
          <w:szCs w:val="28"/>
          <w:lang w:val="en-US" w:eastAsia="zh-CN"/>
        </w:rPr>
        <w:pict>
          <v:rect id="矩形 2" o:spid="_x0000_i1026" style="width:538.65pt;height:1pt;mso-position-horizontal-relative:page;mso-position-vertical-relative:page" o:hrpct="0" o:hralign="center" o:hrstd="t" o:hrnoshade="t" o:hr="t" fillcolor="gray" stroked="f"/>
        </w:pict>
      </w:r>
    </w:p>
    <w:p w:rsidR="00DF5ACB" w:rsidRPr="00785DFE" w:rsidRDefault="00DF5ACB" w:rsidP="00DF5ACB">
      <w:pPr>
        <w:spacing w:line="440" w:lineRule="exact"/>
        <w:rPr>
          <w:rFonts w:ascii="仿宋_GB2312" w:eastAsia="仿宋_GB2312"/>
          <w:sz w:val="28"/>
          <w:szCs w:val="28"/>
        </w:rPr>
      </w:pPr>
      <w:r w:rsidRPr="00785DFE">
        <w:rPr>
          <w:rFonts w:hint="eastAsia"/>
          <w:sz w:val="28"/>
          <w:szCs w:val="28"/>
          <w:lang w:val="en-US" w:eastAsia="zh-CN"/>
        </w:rPr>
        <w:t xml:space="preserve">  </w:t>
      </w:r>
      <w:r w:rsidRPr="00785DFE">
        <w:rPr>
          <w:rFonts w:eastAsia="仿宋_GB2312" w:hint="eastAsia"/>
          <w:sz w:val="28"/>
          <w:szCs w:val="28"/>
          <w:lang w:val="en-US" w:eastAsia="zh-CN"/>
        </w:rPr>
        <w:t xml:space="preserve">吉林大学珠海学院院长办公室　</w:t>
      </w:r>
      <w:r w:rsidRPr="00785DFE">
        <w:rPr>
          <w:rFonts w:eastAsia="仿宋_GB2312" w:hint="eastAsia"/>
          <w:sz w:val="28"/>
          <w:szCs w:val="28"/>
          <w:lang w:val="en-US" w:eastAsia="zh-CN"/>
        </w:rPr>
        <w:t xml:space="preserve">     </w:t>
      </w:r>
      <w:r>
        <w:rPr>
          <w:rFonts w:ascii="仿宋_GB2312" w:eastAsia="仿宋_GB2312" w:hint="eastAsia"/>
          <w:sz w:val="28"/>
          <w:szCs w:val="28"/>
          <w:lang w:val="en-US"/>
        </w:rPr>
        <w:t xml:space="preserve">     2020</w:t>
      </w:r>
      <w:r w:rsidRPr="00785DFE">
        <w:rPr>
          <w:rFonts w:ascii="仿宋_GB2312" w:eastAsia="仿宋_GB2312" w:hint="eastAsia"/>
          <w:sz w:val="28"/>
          <w:szCs w:val="28"/>
          <w:lang w:val="en-US" w:eastAsia="zh-CN"/>
        </w:rPr>
        <w:t>年</w:t>
      </w:r>
      <w:r>
        <w:rPr>
          <w:rFonts w:ascii="仿宋_GB2312" w:eastAsia="仿宋_GB2312" w:hint="eastAsia"/>
          <w:sz w:val="28"/>
          <w:szCs w:val="28"/>
          <w:lang w:val="en-US"/>
        </w:rPr>
        <w:t>8</w:t>
      </w:r>
      <w:r w:rsidRPr="00785DFE">
        <w:rPr>
          <w:rFonts w:ascii="仿宋_GB2312" w:eastAsia="仿宋_GB2312" w:hint="eastAsia"/>
          <w:sz w:val="28"/>
          <w:szCs w:val="28"/>
          <w:lang w:val="en-US" w:eastAsia="zh-CN"/>
        </w:rPr>
        <w:t>月</w:t>
      </w:r>
      <w:r>
        <w:rPr>
          <w:rFonts w:ascii="仿宋_GB2312" w:eastAsia="仿宋_GB2312" w:hint="eastAsia"/>
          <w:sz w:val="28"/>
          <w:szCs w:val="28"/>
          <w:lang w:val="en-US"/>
        </w:rPr>
        <w:t>25</w:t>
      </w:r>
      <w:r w:rsidRPr="00785DFE">
        <w:rPr>
          <w:rFonts w:ascii="仿宋_GB2312" w:eastAsia="仿宋_GB2312" w:hint="eastAsia"/>
          <w:sz w:val="28"/>
          <w:szCs w:val="28"/>
          <w:lang w:val="en-US" w:eastAsia="zh-CN"/>
        </w:rPr>
        <w:t xml:space="preserve">日印发    </w:t>
      </w:r>
      <w:r w:rsidRPr="00785DFE">
        <w:rPr>
          <w:rFonts w:hint="eastAsia"/>
          <w:sz w:val="28"/>
          <w:szCs w:val="28"/>
          <w:lang w:val="en-US" w:eastAsia="zh-CN"/>
        </w:rPr>
        <w:t xml:space="preserve">        </w:t>
      </w:r>
    </w:p>
    <w:p w:rsidR="00DF5ACB" w:rsidRPr="00785DFE" w:rsidRDefault="00DF5ACB" w:rsidP="00DF5ACB">
      <w:pPr>
        <w:spacing w:line="440" w:lineRule="exact"/>
        <w:rPr>
          <w:rFonts w:hint="eastAsia"/>
          <w:sz w:val="28"/>
          <w:szCs w:val="28"/>
          <w:lang w:val="en-US" w:eastAsia="zh-CN"/>
        </w:rPr>
      </w:pPr>
      <w:r w:rsidRPr="00785DFE">
        <w:rPr>
          <w:sz w:val="28"/>
          <w:szCs w:val="28"/>
          <w:lang w:val="en-US" w:eastAsia="zh-CN"/>
        </w:rPr>
        <w:pict>
          <v:rect id="矩形 3" o:spid="_x0000_i1027" style="width:538.65pt;height:1.2pt;mso-position-horizontal-relative:page;mso-position-vertical-relative:page" o:hrpct="0" o:hralign="center" o:hrstd="t" o:hrnoshade="t" o:hr="t" fillcolor="black" stroked="f"/>
        </w:pict>
      </w:r>
    </w:p>
    <w:p w:rsidR="00667F5B" w:rsidRDefault="00667F5B"/>
    <w:sectPr w:rsidR="00667F5B" w:rsidSect="004F46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14B7"/>
    <w:multiLevelType w:val="multilevel"/>
    <w:tmpl w:val="2BEB14B7"/>
    <w:lvl w:ilvl="0">
      <w:start w:val="1"/>
      <w:numFmt w:val="japaneseCounting"/>
      <w:lvlText w:val="第%1条"/>
      <w:lvlJc w:val="left"/>
      <w:pPr>
        <w:ind w:left="1395" w:hanging="855"/>
      </w:pPr>
      <w:rPr>
        <w:rFonts w:hint="default"/>
        <w:b/>
        <w:color w:val="auto"/>
        <w:lang w:val="en-US"/>
      </w:rPr>
    </w:lvl>
    <w:lvl w:ilvl="1">
      <w:start w:val="1"/>
      <w:numFmt w:val="japaneseCounting"/>
      <w:lvlText w:val="（%2）"/>
      <w:lvlJc w:val="left"/>
      <w:pPr>
        <w:tabs>
          <w:tab w:val="left" w:pos="2195"/>
        </w:tabs>
        <w:ind w:left="2195" w:hanging="855"/>
      </w:pPr>
      <w:rPr>
        <w:rFonts w:hint="default"/>
        <w:color w:val="000000"/>
      </w:r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855"/>
    <w:rsid w:val="004F46CA"/>
    <w:rsid w:val="005F7855"/>
    <w:rsid w:val="00667F5B"/>
    <w:rsid w:val="00DF5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7855"/>
    <w:rPr>
      <w:sz w:val="18"/>
      <w:szCs w:val="18"/>
    </w:rPr>
  </w:style>
  <w:style w:type="character" w:customStyle="1" w:styleId="Char">
    <w:name w:val="批注框文本 Char"/>
    <w:basedOn w:val="a0"/>
    <w:link w:val="a3"/>
    <w:uiPriority w:val="99"/>
    <w:semiHidden/>
    <w:rsid w:val="005F78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328</Words>
  <Characters>1875</Characters>
  <Application>Microsoft Office Word</Application>
  <DocSecurity>0</DocSecurity>
  <Lines>15</Lines>
  <Paragraphs>4</Paragraphs>
  <ScaleCrop>false</ScaleCrop>
  <Company>Hewlett-Packard Company</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科研处部门账号</dc:creator>
  <cp:lastModifiedBy>科研处部门账号</cp:lastModifiedBy>
  <cp:revision>2</cp:revision>
  <dcterms:created xsi:type="dcterms:W3CDTF">2020-08-26T01:21:00Z</dcterms:created>
  <dcterms:modified xsi:type="dcterms:W3CDTF">2020-08-26T01:21:00Z</dcterms:modified>
</cp:coreProperties>
</file>