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6</w:t>
      </w:r>
      <w:r>
        <w:rPr>
          <w:rFonts w:hint="eastAsia" w:ascii="宋体" w:hAnsi="宋体"/>
          <w:color w:val="000000"/>
          <w:sz w:val="32"/>
          <w:szCs w:val="32"/>
          <w:lang w:eastAsia="zh-CN"/>
        </w:rPr>
        <w:t>号</w:t>
      </w:r>
      <w:bookmarkEnd w:id="0"/>
    </w:p>
    <w:p w14:paraId="274F2E2E">
      <w:pPr>
        <w:spacing w:line="340" w:lineRule="exact"/>
        <w:jc w:val="center"/>
      </w:pPr>
      <w:r>
        <w:rPr>
          <w:rFonts w:hint="eastAsia" w:ascii="仿宋_GB2312" w:eastAsia="仿宋_GB2312"/>
          <w:sz w:val="32"/>
        </w:rPr>
        <w:t xml:space="preserve">               </w:t>
      </w:r>
    </w:p>
    <w:p w14:paraId="5FBDBCE5">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0" w:afterAutospacing="0" w:line="360" w:lineRule="auto"/>
        <w:ind w:left="0" w:right="0"/>
        <w:jc w:val="center"/>
        <w:textAlignment w:val="auto"/>
        <w:rPr>
          <w:rFonts w:hint="eastAsia" w:asciiTheme="majorEastAsia" w:hAnsiTheme="majorEastAsia" w:eastAsiaTheme="majorEastAsia"/>
          <w:b/>
          <w:sz w:val="44"/>
          <w:szCs w:val="44"/>
          <w:lang w:eastAsia="zh-CN"/>
        </w:rPr>
      </w:pPr>
      <w:r>
        <w:rPr>
          <w:rFonts w:hint="eastAsia" w:asciiTheme="majorEastAsia" w:hAnsiTheme="majorEastAsia" w:eastAsiaTheme="majorEastAsia"/>
          <w:b/>
          <w:sz w:val="44"/>
          <w:szCs w:val="44"/>
          <w:lang w:eastAsia="zh-CN"/>
        </w:rPr>
        <w:t>关于征集2026年度人文社科类合作项目的通知</w:t>
      </w:r>
    </w:p>
    <w:p w14:paraId="1E11DABE">
      <w:pPr>
        <w:keepNext w:val="0"/>
        <w:keepLines w:val="0"/>
        <w:pageBreakBefore w:val="0"/>
        <w:widowControl w:val="0"/>
        <w:kinsoku/>
        <w:wordWrap/>
        <w:overflowPunct/>
        <w:topLinePunct w:val="0"/>
        <w:autoSpaceDE/>
        <w:autoSpaceDN/>
        <w:bidi w:val="0"/>
        <w:adjustRightInd/>
        <w:snapToGrid/>
        <w:spacing w:before="150" w:beforeLines="50" w:line="360" w:lineRule="auto"/>
        <w:jc w:val="both"/>
        <w:textAlignment w:val="auto"/>
        <w:rPr>
          <w:rFonts w:ascii="仿宋" w:hAnsi="仿宋" w:eastAsia="仿宋"/>
          <w:sz w:val="30"/>
          <w:szCs w:val="30"/>
          <w:lang w:eastAsia="zh-CN"/>
        </w:rPr>
      </w:pPr>
      <w:r>
        <w:rPr>
          <w:rFonts w:hint="eastAsia" w:ascii="仿宋" w:hAnsi="仿宋" w:eastAsia="仿宋"/>
          <w:sz w:val="30"/>
          <w:szCs w:val="30"/>
          <w:lang w:eastAsia="zh-CN"/>
        </w:rPr>
        <w:t>学校各单位：</w:t>
      </w:r>
    </w:p>
    <w:p w14:paraId="3D1C1F85">
      <w:pPr>
        <w:spacing w:line="360" w:lineRule="auto"/>
        <w:ind w:firstLine="600" w:firstLineChars="200"/>
        <w:jc w:val="both"/>
        <w:rPr>
          <w:rFonts w:hint="eastAsia" w:ascii="仿宋" w:hAnsi="仿宋" w:eastAsia="仿宋"/>
          <w:sz w:val="30"/>
          <w:szCs w:val="30"/>
          <w:lang w:eastAsia="zh-CN"/>
        </w:rPr>
      </w:pPr>
      <w:r>
        <w:rPr>
          <w:rFonts w:hint="eastAsia" w:ascii="仿宋" w:hAnsi="仿宋" w:eastAsia="仿宋"/>
          <w:sz w:val="30"/>
          <w:szCs w:val="30"/>
          <w:lang w:val="en-US" w:eastAsia="zh-CN"/>
        </w:rPr>
        <w:t>依据珠海市社会科学界联合会《</w:t>
      </w:r>
      <w:r>
        <w:rPr>
          <w:rFonts w:hint="eastAsia" w:ascii="仿宋" w:hAnsi="仿宋" w:eastAsia="仿宋"/>
          <w:sz w:val="30"/>
          <w:szCs w:val="30"/>
          <w:lang w:eastAsia="zh-CN"/>
        </w:rPr>
        <w:t>关于征集2026年度人文社科类合作项目的函</w:t>
      </w:r>
      <w:r>
        <w:rPr>
          <w:rFonts w:hint="eastAsia" w:ascii="仿宋" w:hAnsi="仿宋" w:eastAsia="仿宋"/>
          <w:sz w:val="30"/>
          <w:szCs w:val="30"/>
          <w:lang w:val="en-US" w:eastAsia="zh-CN"/>
        </w:rPr>
        <w:t>》，</w:t>
      </w:r>
      <w:r>
        <w:rPr>
          <w:rFonts w:hint="eastAsia" w:ascii="仿宋" w:hAnsi="仿宋" w:eastAsia="仿宋"/>
          <w:sz w:val="30"/>
          <w:szCs w:val="30"/>
          <w:lang w:eastAsia="zh-CN"/>
        </w:rPr>
        <w:t>学校组织开展相关项目的申报工作，请有意申报该项目的教师按文件要求进行申报。</w:t>
      </w:r>
    </w:p>
    <w:p w14:paraId="3F9F103E">
      <w:pPr>
        <w:spacing w:line="360" w:lineRule="auto"/>
        <w:ind w:firstLine="600" w:firstLineChars="200"/>
        <w:jc w:val="both"/>
        <w:rPr>
          <w:rFonts w:hint="default" w:ascii="仿宋" w:hAnsi="仿宋" w:eastAsia="仿宋"/>
          <w:sz w:val="30"/>
          <w:szCs w:val="30"/>
          <w:highlight w:val="yellow"/>
          <w:lang w:val="en-US" w:eastAsia="zh-CN"/>
        </w:rPr>
      </w:pPr>
      <w:r>
        <w:rPr>
          <w:rFonts w:hint="eastAsia" w:ascii="仿宋" w:hAnsi="仿宋" w:eastAsia="仿宋"/>
          <w:sz w:val="30"/>
          <w:szCs w:val="30"/>
          <w:highlight w:val="none"/>
          <w:lang w:eastAsia="zh-CN"/>
        </w:rPr>
        <w:t>申报人</w:t>
      </w:r>
      <w:r>
        <w:rPr>
          <w:rFonts w:hint="eastAsia" w:ascii="仿宋" w:hAnsi="仿宋" w:eastAsia="仿宋"/>
          <w:sz w:val="30"/>
          <w:szCs w:val="30"/>
          <w:highlight w:val="none"/>
          <w:lang w:val="en-US" w:eastAsia="zh-CN"/>
        </w:rPr>
        <w:t>请将填写好的</w:t>
      </w:r>
      <w:r>
        <w:rPr>
          <w:rFonts w:hint="eastAsia" w:ascii="仿宋" w:hAnsi="仿宋" w:eastAsia="仿宋"/>
          <w:sz w:val="30"/>
          <w:szCs w:val="30"/>
          <w:highlight w:val="none"/>
          <w:lang w:eastAsia="zh-CN"/>
        </w:rPr>
        <w:t>《2026年度在珠高校与珠海市人文社科类合作项目征集表》（见附件</w:t>
      </w:r>
      <w:r>
        <w:rPr>
          <w:rFonts w:hint="eastAsia" w:ascii="仿宋" w:hAnsi="仿宋" w:eastAsia="仿宋"/>
          <w:sz w:val="30"/>
          <w:szCs w:val="30"/>
          <w:highlight w:val="none"/>
          <w:lang w:val="en-US" w:eastAsia="zh-CN"/>
        </w:rPr>
        <w:t>2</w:t>
      </w:r>
      <w:r>
        <w:rPr>
          <w:rFonts w:hint="eastAsia" w:ascii="仿宋" w:hAnsi="仿宋" w:eastAsia="仿宋"/>
          <w:sz w:val="30"/>
          <w:szCs w:val="30"/>
          <w:highlight w:val="none"/>
          <w:lang w:eastAsia="zh-CN"/>
        </w:rPr>
        <w:t>），通过“珠海科技学院科研服务平台”(https://kypt.zcst.edu.cn/)提交，提交步骤如下：进入系统-校级</w:t>
      </w:r>
      <w:r>
        <w:rPr>
          <w:rFonts w:hint="eastAsia" w:ascii="仿宋" w:hAnsi="仿宋" w:eastAsia="仿宋"/>
          <w:sz w:val="30"/>
          <w:szCs w:val="30"/>
          <w:highlight w:val="none"/>
          <w:lang w:val="en-US" w:eastAsia="zh-CN"/>
        </w:rPr>
        <w:t>项目</w:t>
      </w:r>
      <w:r>
        <w:rPr>
          <w:rFonts w:hint="eastAsia" w:ascii="仿宋" w:hAnsi="仿宋" w:eastAsia="仿宋"/>
          <w:sz w:val="30"/>
          <w:szCs w:val="30"/>
          <w:highlight w:val="none"/>
          <w:lang w:eastAsia="zh-CN"/>
        </w:rPr>
        <w:t>申报-按具体流程填报</w:t>
      </w:r>
      <w:r>
        <w:rPr>
          <w:rFonts w:hint="eastAsia" w:ascii="仿宋" w:hAnsi="仿宋" w:eastAsia="仿宋"/>
          <w:color w:val="auto"/>
          <w:sz w:val="30"/>
          <w:szCs w:val="30"/>
          <w:highlight w:val="none"/>
          <w:lang w:eastAsia="zh-CN"/>
        </w:rPr>
        <w:t>，系统</w:t>
      </w:r>
      <w:r>
        <w:rPr>
          <w:rFonts w:hint="eastAsia" w:ascii="仿宋" w:hAnsi="仿宋" w:eastAsia="仿宋"/>
          <w:color w:val="auto"/>
          <w:sz w:val="30"/>
          <w:szCs w:val="30"/>
          <w:highlight w:val="none"/>
          <w:lang w:val="en-US" w:eastAsia="zh-CN"/>
        </w:rPr>
        <w:t>提交截止</w:t>
      </w:r>
      <w:r>
        <w:rPr>
          <w:rFonts w:hint="eastAsia" w:ascii="仿宋" w:hAnsi="仿宋" w:eastAsia="仿宋"/>
          <w:color w:val="auto"/>
          <w:sz w:val="30"/>
          <w:szCs w:val="30"/>
          <w:highlight w:val="none"/>
          <w:lang w:eastAsia="zh-CN"/>
        </w:rPr>
        <w:t>时间：202</w:t>
      </w:r>
      <w:r>
        <w:rPr>
          <w:rFonts w:hint="eastAsia" w:ascii="仿宋" w:hAnsi="仿宋" w:eastAsia="仿宋"/>
          <w:color w:val="auto"/>
          <w:sz w:val="30"/>
          <w:szCs w:val="30"/>
          <w:highlight w:val="none"/>
          <w:lang w:val="en-US" w:eastAsia="zh-CN"/>
        </w:rPr>
        <w:t>6</w:t>
      </w:r>
      <w:r>
        <w:rPr>
          <w:rFonts w:hint="eastAsia" w:ascii="仿宋" w:hAnsi="仿宋" w:eastAsia="仿宋"/>
          <w:color w:val="auto"/>
          <w:sz w:val="30"/>
          <w:szCs w:val="30"/>
          <w:highlight w:val="none"/>
          <w:lang w:eastAsia="zh-CN"/>
        </w:rPr>
        <w:t>年</w:t>
      </w:r>
      <w:r>
        <w:rPr>
          <w:rFonts w:hint="eastAsia" w:ascii="仿宋" w:hAnsi="仿宋" w:eastAsia="仿宋"/>
          <w:color w:val="auto"/>
          <w:sz w:val="30"/>
          <w:szCs w:val="30"/>
          <w:highlight w:val="none"/>
          <w:lang w:val="en-US" w:eastAsia="zh-CN"/>
        </w:rPr>
        <w:t>3</w:t>
      </w:r>
      <w:r>
        <w:rPr>
          <w:rFonts w:hint="eastAsia" w:ascii="仿宋" w:hAnsi="仿宋" w:eastAsia="仿宋"/>
          <w:color w:val="auto"/>
          <w:sz w:val="30"/>
          <w:szCs w:val="30"/>
          <w:highlight w:val="none"/>
          <w:lang w:eastAsia="zh-CN"/>
        </w:rPr>
        <w:t>月</w:t>
      </w:r>
      <w:r>
        <w:rPr>
          <w:rFonts w:hint="eastAsia" w:ascii="仿宋" w:hAnsi="仿宋" w:eastAsia="仿宋"/>
          <w:color w:val="auto"/>
          <w:sz w:val="30"/>
          <w:szCs w:val="30"/>
          <w:highlight w:val="none"/>
          <w:lang w:val="en-US" w:eastAsia="zh-CN"/>
        </w:rPr>
        <w:t>11</w:t>
      </w:r>
      <w:r>
        <w:rPr>
          <w:rFonts w:hint="eastAsia" w:ascii="仿宋" w:hAnsi="仿宋" w:eastAsia="仿宋"/>
          <w:color w:val="auto"/>
          <w:sz w:val="30"/>
          <w:szCs w:val="30"/>
          <w:highlight w:val="none"/>
          <w:lang w:eastAsia="zh-CN"/>
        </w:rPr>
        <w:t>日24点。</w:t>
      </w:r>
      <w:r>
        <w:rPr>
          <w:rFonts w:hint="eastAsia" w:ascii="仿宋" w:hAnsi="仿宋" w:eastAsia="仿宋"/>
          <w:color w:val="auto"/>
          <w:sz w:val="30"/>
          <w:szCs w:val="30"/>
          <w:highlight w:val="none"/>
          <w:lang w:val="en-US" w:eastAsia="zh-CN"/>
        </w:rPr>
        <w:t>提交后由学校统一报送。</w:t>
      </w:r>
    </w:p>
    <w:p w14:paraId="63559B52">
      <w:pPr>
        <w:spacing w:line="360" w:lineRule="auto"/>
        <w:ind w:firstLine="602" w:firstLineChars="200"/>
        <w:jc w:val="both"/>
        <w:rPr>
          <w:rFonts w:hint="eastAsia" w:ascii="仿宋" w:hAnsi="仿宋" w:eastAsia="仿宋"/>
          <w:b/>
          <w:bCs/>
          <w:sz w:val="30"/>
          <w:szCs w:val="30"/>
          <w:highlight w:val="none"/>
          <w:lang w:val="en-US" w:eastAsia="zh-CN"/>
        </w:rPr>
      </w:pPr>
      <w:r>
        <w:rPr>
          <w:rFonts w:hint="eastAsia" w:ascii="仿宋" w:hAnsi="仿宋" w:eastAsia="仿宋"/>
          <w:b/>
          <w:bCs/>
          <w:sz w:val="30"/>
          <w:szCs w:val="30"/>
          <w:highlight w:val="none"/>
          <w:lang w:val="en-US" w:eastAsia="zh-CN"/>
        </w:rPr>
        <w:t>一、征集范围</w:t>
      </w:r>
    </w:p>
    <w:p w14:paraId="2888DD50">
      <w:pPr>
        <w:spacing w:line="360" w:lineRule="auto"/>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highlight w:val="none"/>
          <w:lang w:val="en-US" w:eastAsia="zh-CN"/>
        </w:rPr>
        <w:t>本</w:t>
      </w:r>
      <w:r>
        <w:rPr>
          <w:rFonts w:hint="eastAsia" w:ascii="仿宋" w:hAnsi="仿宋" w:eastAsia="仿宋"/>
          <w:sz w:val="30"/>
          <w:szCs w:val="30"/>
          <w:lang w:val="en-US" w:eastAsia="zh-CN"/>
        </w:rPr>
        <w:t>次征集的项目应紧密围绕2026 年度珠海经济社会发展的</w:t>
      </w:r>
    </w:p>
    <w:p w14:paraId="23B24F71">
      <w:pPr>
        <w:spacing w:line="360" w:lineRule="auto"/>
        <w:jc w:val="both"/>
        <w:rPr>
          <w:rFonts w:hint="eastAsia" w:ascii="仿宋" w:hAnsi="仿宋" w:eastAsia="仿宋"/>
          <w:sz w:val="30"/>
          <w:szCs w:val="30"/>
          <w:lang w:val="en-US" w:eastAsia="zh-CN"/>
        </w:rPr>
      </w:pPr>
      <w:r>
        <w:rPr>
          <w:rFonts w:hint="eastAsia" w:ascii="仿宋" w:hAnsi="仿宋" w:eastAsia="仿宋"/>
          <w:sz w:val="30"/>
          <w:szCs w:val="30"/>
          <w:lang w:val="en-US" w:eastAsia="zh-CN"/>
        </w:rPr>
        <w:t>实际需求，突出“研究端”与“实践端”的深度融合，拟开展或正在开展中的跨校、跨学科、跨领域合作项目。项目类型包括但不限于以下四类：</w:t>
      </w:r>
    </w:p>
    <w:p w14:paraId="49928957">
      <w:pPr>
        <w:spacing w:line="360" w:lineRule="auto"/>
        <w:ind w:firstLine="600" w:firstLineChars="200"/>
        <w:jc w:val="both"/>
        <w:rPr>
          <w:rFonts w:hint="default" w:ascii="仿宋" w:hAnsi="仿宋" w:eastAsia="仿宋"/>
          <w:sz w:val="30"/>
          <w:szCs w:val="30"/>
          <w:lang w:val="en-US" w:eastAsia="zh-CN"/>
        </w:rPr>
      </w:pPr>
      <w:r>
        <w:rPr>
          <w:rFonts w:hint="eastAsia" w:ascii="仿宋" w:hAnsi="仿宋" w:eastAsia="仿宋"/>
          <w:sz w:val="30"/>
          <w:szCs w:val="30"/>
          <w:lang w:val="en-US" w:eastAsia="zh-CN"/>
        </w:rPr>
        <w:t>1.社科普及类项目。面向社会大众开展的理论宣传、政策解读、文化传播、社科知识普及等活动，形式包括讲座、展览、沙龙、科普读物编写、新媒体传播等。</w:t>
      </w:r>
    </w:p>
    <w:p w14:paraId="0CB43B20">
      <w:pPr>
        <w:spacing w:line="360" w:lineRule="auto"/>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2.社科研究类项目。围绕推动珠海经济建设和社会事业高质量发展中的重大理论与实践问题开展的应用对策研究。2026年度珠海市哲学社会科学规划课题项目不纳入本次征集。</w:t>
      </w:r>
    </w:p>
    <w:p w14:paraId="6A8EA52D">
      <w:pPr>
        <w:spacing w:line="360" w:lineRule="auto"/>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3.支持横琴开发项目。聚焦横琴粤澳深度合作区建设、珠澳融合发展、粤港澳大湾区规则衔接、民生合作、青年交流等主题，开展课题研究、政策咨询、文化交流、人才培养等合作。</w:t>
      </w:r>
    </w:p>
    <w:p w14:paraId="5D530811">
      <w:pPr>
        <w:spacing w:line="360" w:lineRule="auto"/>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4.国际交流合作类项目。依托高校国际资源，开展与“一带一路”沿线国家、葡语系国家、拉美地区等的社科领域交流合作，包括国际学术会议、联合研究、智库对话、文明互鉴等项目。</w:t>
      </w:r>
    </w:p>
    <w:p w14:paraId="4D4D07CD">
      <w:pPr>
        <w:numPr>
          <w:ilvl w:val="0"/>
          <w:numId w:val="0"/>
        </w:numPr>
        <w:spacing w:line="360" w:lineRule="auto"/>
        <w:ind w:firstLine="602" w:firstLineChars="200"/>
        <w:jc w:val="both"/>
        <w:rPr>
          <w:rFonts w:hint="eastAsia" w:ascii="仿宋" w:hAnsi="仿宋" w:eastAsia="仿宋"/>
          <w:b/>
          <w:bCs/>
          <w:sz w:val="30"/>
          <w:szCs w:val="30"/>
          <w:highlight w:val="none"/>
          <w:lang w:val="en-US" w:eastAsia="zh-CN"/>
        </w:rPr>
      </w:pPr>
      <w:r>
        <w:rPr>
          <w:rFonts w:hint="eastAsia" w:ascii="仿宋" w:hAnsi="仿宋" w:eastAsia="仿宋"/>
          <w:b/>
          <w:bCs/>
          <w:sz w:val="30"/>
          <w:szCs w:val="30"/>
          <w:highlight w:val="none"/>
          <w:lang w:val="en-US" w:eastAsia="zh-CN"/>
        </w:rPr>
        <w:t>二、项目要求</w:t>
      </w:r>
    </w:p>
    <w:p w14:paraId="13D9ACE5">
      <w:pPr>
        <w:spacing w:line="360" w:lineRule="auto"/>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1.合作主体明确。</w:t>
      </w:r>
      <w:r>
        <w:rPr>
          <w:rFonts w:hint="eastAsia" w:ascii="仿宋" w:hAnsi="仿宋" w:eastAsia="仿宋"/>
          <w:color w:val="FF0000"/>
          <w:sz w:val="30"/>
          <w:szCs w:val="30"/>
          <w:lang w:val="en-US" w:eastAsia="zh-CN"/>
        </w:rPr>
        <w:t>项目须由在珠高校牵头或参与，合作方可为珠海市各级党政机关、事业单位、企业、社会组织，或横琴相关机构、在珠高校等。</w:t>
      </w:r>
      <w:r>
        <w:rPr>
          <w:rFonts w:hint="eastAsia" w:ascii="仿宋" w:hAnsi="仿宋" w:eastAsia="仿宋"/>
          <w:sz w:val="30"/>
          <w:szCs w:val="30"/>
          <w:lang w:val="en-US" w:eastAsia="zh-CN"/>
        </w:rPr>
        <w:t>鼓励高校之间联合申报，也支持高校与各单位结对合作。</w:t>
      </w:r>
    </w:p>
    <w:p w14:paraId="51DFE785">
      <w:pPr>
        <w:spacing w:line="360" w:lineRule="auto"/>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2.内容具体可行。项目应具备清晰的实施思路、明确的预期成果和可落地的操作路径，</w:t>
      </w:r>
      <w:r>
        <w:rPr>
          <w:rFonts w:hint="eastAsia" w:ascii="仿宋" w:hAnsi="仿宋" w:eastAsia="仿宋"/>
          <w:color w:val="FF0000"/>
          <w:sz w:val="30"/>
          <w:szCs w:val="30"/>
          <w:lang w:val="en-US" w:eastAsia="zh-CN"/>
        </w:rPr>
        <w:t>能够在2026 年内启动并完成主要工作。</w:t>
      </w:r>
      <w:r>
        <w:rPr>
          <w:rFonts w:hint="eastAsia" w:ascii="仿宋" w:hAnsi="仿宋" w:eastAsia="仿宋"/>
          <w:sz w:val="30"/>
          <w:szCs w:val="30"/>
          <w:lang w:val="en-US" w:eastAsia="zh-CN"/>
        </w:rPr>
        <w:t>项目名称、合作双方、目标、内容、经费预算等要素需填写完整。</w:t>
      </w:r>
    </w:p>
    <w:p w14:paraId="7D8253BD">
      <w:pPr>
        <w:spacing w:line="360" w:lineRule="auto"/>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3.成果形式多样。成果可以是研究报告、政策建议、普及读物、社会服务、数据库、交流平台等，要求能够体现实际成效，并同意将非涉密成果纳入联盟共享机制。</w:t>
      </w:r>
    </w:p>
    <w:p w14:paraId="663A34EE">
      <w:pPr>
        <w:spacing w:line="360" w:lineRule="auto"/>
        <w:ind w:firstLine="602" w:firstLineChars="200"/>
        <w:jc w:val="both"/>
        <w:rPr>
          <w:rFonts w:hint="eastAsia" w:ascii="仿宋" w:hAnsi="仿宋" w:eastAsia="仿宋"/>
          <w:b/>
          <w:bCs/>
          <w:sz w:val="30"/>
          <w:szCs w:val="30"/>
          <w:lang w:val="en-US" w:eastAsia="zh-CN"/>
        </w:rPr>
      </w:pPr>
      <w:r>
        <w:rPr>
          <w:rFonts w:hint="eastAsia" w:ascii="仿宋" w:hAnsi="仿宋" w:eastAsia="仿宋"/>
          <w:b/>
          <w:bCs/>
          <w:sz w:val="30"/>
          <w:szCs w:val="30"/>
          <w:lang w:val="en-US" w:eastAsia="zh-CN"/>
        </w:rPr>
        <w:t>三、</w:t>
      </w:r>
      <w:r>
        <w:rPr>
          <w:rFonts w:hint="eastAsia" w:ascii="仿宋_GB2312" w:hAnsi="仿宋_GB2312" w:eastAsia="仿宋_GB2312" w:cs="仿宋_GB2312"/>
          <w:b/>
          <w:bCs/>
          <w:sz w:val="32"/>
          <w:szCs w:val="32"/>
          <w:vertAlign w:val="baseline"/>
        </w:rPr>
        <w:t>项目起止时间</w:t>
      </w:r>
      <w:r>
        <w:rPr>
          <w:rFonts w:hint="eastAsia" w:ascii="仿宋" w:hAnsi="仿宋" w:eastAsia="仿宋"/>
          <w:b/>
          <w:bCs/>
          <w:sz w:val="30"/>
          <w:szCs w:val="30"/>
          <w:lang w:val="en-US" w:eastAsia="zh-CN"/>
        </w:rPr>
        <w:t>和经费预算说明</w:t>
      </w:r>
    </w:p>
    <w:p w14:paraId="05D96962">
      <w:pPr>
        <w:spacing w:line="360" w:lineRule="auto"/>
        <w:ind w:firstLine="600" w:firstLineChars="200"/>
        <w:jc w:val="both"/>
        <w:rPr>
          <w:rFonts w:hint="default" w:ascii="仿宋" w:hAnsi="仿宋" w:eastAsia="仿宋"/>
          <w:color w:val="FF0000"/>
          <w:sz w:val="30"/>
          <w:szCs w:val="30"/>
          <w:lang w:val="en-US" w:eastAsia="zh-CN"/>
        </w:rPr>
      </w:pPr>
      <w:r>
        <w:rPr>
          <w:rFonts w:hint="eastAsia" w:ascii="仿宋" w:hAnsi="仿宋" w:eastAsia="仿宋"/>
          <w:sz w:val="30"/>
          <w:szCs w:val="30"/>
          <w:lang w:val="en-US" w:eastAsia="zh-CN"/>
        </w:rPr>
        <w:t>1.</w:t>
      </w:r>
      <w:r>
        <w:rPr>
          <w:rFonts w:hint="eastAsia" w:ascii="仿宋_GB2312" w:hAnsi="仿宋_GB2312" w:eastAsia="仿宋_GB2312" w:cs="仿宋_GB2312"/>
          <w:sz w:val="32"/>
          <w:szCs w:val="32"/>
          <w:vertAlign w:val="baseline"/>
        </w:rPr>
        <w:t>项目起止时间</w:t>
      </w:r>
      <w:r>
        <w:rPr>
          <w:rFonts w:hint="eastAsia" w:ascii="仿宋" w:hAnsi="仿宋" w:eastAsia="仿宋"/>
          <w:sz w:val="30"/>
          <w:szCs w:val="30"/>
          <w:lang w:val="en-US" w:eastAsia="zh-CN"/>
        </w:rPr>
        <w:t>：研究周</w:t>
      </w:r>
      <w:bookmarkStart w:id="1" w:name="_GoBack"/>
      <w:bookmarkEnd w:id="1"/>
      <w:r>
        <w:rPr>
          <w:rFonts w:hint="eastAsia" w:ascii="仿宋" w:hAnsi="仿宋" w:eastAsia="仿宋"/>
          <w:sz w:val="30"/>
          <w:szCs w:val="30"/>
          <w:lang w:val="en-US" w:eastAsia="zh-CN"/>
        </w:rPr>
        <w:t>期覆盖2026年，</w:t>
      </w:r>
      <w:r>
        <w:rPr>
          <w:rFonts w:hint="eastAsia" w:ascii="仿宋" w:hAnsi="仿宋" w:eastAsia="仿宋"/>
          <w:color w:val="FF0000"/>
          <w:sz w:val="30"/>
          <w:szCs w:val="30"/>
          <w:lang w:val="en-US" w:eastAsia="zh-CN"/>
        </w:rPr>
        <w:t>且本年度要有具体成果，突出成效。</w:t>
      </w:r>
    </w:p>
    <w:p w14:paraId="48D7414C">
      <w:pPr>
        <w:spacing w:line="360" w:lineRule="auto"/>
        <w:ind w:firstLine="600" w:firstLineChars="200"/>
        <w:jc w:val="both"/>
        <w:rPr>
          <w:rFonts w:hint="default" w:ascii="仿宋" w:hAnsi="仿宋" w:eastAsia="仿宋"/>
          <w:sz w:val="30"/>
          <w:szCs w:val="30"/>
          <w:lang w:val="en-US" w:eastAsia="zh-CN"/>
        </w:rPr>
      </w:pPr>
      <w:r>
        <w:rPr>
          <w:rFonts w:hint="eastAsia" w:ascii="仿宋" w:hAnsi="仿宋" w:eastAsia="仿宋"/>
          <w:sz w:val="30"/>
          <w:szCs w:val="30"/>
          <w:lang w:val="en-US" w:eastAsia="zh-CN"/>
        </w:rPr>
        <w:t>2.</w:t>
      </w:r>
      <w:r>
        <w:rPr>
          <w:rFonts w:hint="eastAsia" w:ascii="仿宋_GB2312" w:hAnsi="仿宋_GB2312" w:eastAsia="仿宋_GB2312" w:cs="仿宋_GB2312"/>
          <w:sz w:val="32"/>
          <w:szCs w:val="32"/>
          <w:vertAlign w:val="baseline"/>
        </w:rPr>
        <w:t>经费预算（万元）</w:t>
      </w:r>
      <w:r>
        <w:rPr>
          <w:rFonts w:hint="eastAsia" w:ascii="仿宋" w:hAnsi="仿宋" w:eastAsia="仿宋"/>
          <w:sz w:val="30"/>
          <w:szCs w:val="30"/>
          <w:lang w:val="en-US" w:eastAsia="zh-CN"/>
        </w:rPr>
        <w:t>：依据实际情况合理规划。</w:t>
      </w:r>
    </w:p>
    <w:p w14:paraId="409FC1AF">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bCs/>
          <w:sz w:val="30"/>
          <w:szCs w:val="30"/>
          <w:lang w:eastAsia="zh-CN"/>
        </w:rPr>
      </w:pPr>
    </w:p>
    <w:p w14:paraId="2C146F83">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sz w:val="32"/>
          <w:szCs w:val="32"/>
        </w:rPr>
      </w:pPr>
      <w:r>
        <w:rPr>
          <w:rFonts w:hint="eastAsia" w:ascii="仿宋" w:hAnsi="仿宋" w:eastAsia="仿宋"/>
          <w:bCs/>
          <w:sz w:val="30"/>
          <w:szCs w:val="30"/>
          <w:lang w:eastAsia="zh-CN"/>
        </w:rPr>
        <w:t>其他未尽事宜详见附件。</w:t>
      </w:r>
      <w:r>
        <w:rPr>
          <w:rFonts w:hint="eastAsia" w:ascii="仿宋" w:hAnsi="仿宋" w:eastAsia="仿宋"/>
          <w:sz w:val="32"/>
          <w:szCs w:val="32"/>
        </w:rPr>
        <w:t xml:space="preserve">    </w:t>
      </w:r>
    </w:p>
    <w:p w14:paraId="3F7F60F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spacing w:line="560" w:lineRule="exact"/>
        <w:ind w:firstLine="645"/>
        <w:rPr>
          <w:rFonts w:ascii="仿宋" w:hAnsi="仿宋" w:eastAsia="仿宋"/>
          <w:sz w:val="32"/>
          <w:szCs w:val="32"/>
        </w:rPr>
      </w:pPr>
      <w:r>
        <w:rPr>
          <w:rFonts w:ascii="仿宋" w:hAnsi="仿宋" w:eastAsia="仿宋"/>
          <w:sz w:val="32"/>
          <w:szCs w:val="32"/>
        </w:rPr>
        <w:t xml:space="preserve">    </w:t>
      </w:r>
    </w:p>
    <w:p w14:paraId="1FE87242">
      <w:pPr>
        <w:spacing w:line="240" w:lineRule="auto"/>
        <w:ind w:left="1918" w:leftChars="290" w:hanging="1280" w:hangingChars="400"/>
        <w:rPr>
          <w:rFonts w:hint="eastAsia" w:ascii="仿宋" w:hAnsi="仿宋" w:eastAsia="仿宋"/>
          <w:sz w:val="32"/>
          <w:szCs w:val="32"/>
        </w:rPr>
      </w:pPr>
      <w:r>
        <w:rPr>
          <w:rFonts w:hint="eastAsia" w:ascii="仿宋" w:hAnsi="仿宋" w:eastAsia="仿宋"/>
          <w:sz w:val="32"/>
          <w:szCs w:val="32"/>
        </w:rPr>
        <w:t>附件:</w:t>
      </w:r>
      <w:r>
        <w:rPr>
          <w:rFonts w:hint="eastAsia" w:ascii="仿宋" w:hAnsi="仿宋" w:eastAsia="仿宋"/>
          <w:sz w:val="32"/>
          <w:szCs w:val="32"/>
          <w:lang w:val="en-US" w:eastAsia="zh-CN"/>
        </w:rPr>
        <w:t xml:space="preserve"> </w:t>
      </w:r>
      <w:r>
        <w:rPr>
          <w:rFonts w:hint="eastAsia" w:ascii="仿宋" w:hAnsi="仿宋" w:eastAsia="仿宋"/>
          <w:sz w:val="32"/>
          <w:szCs w:val="32"/>
        </w:rPr>
        <w:t>1.关于征集2026 年度人文社科类合作项目的函</w:t>
      </w:r>
    </w:p>
    <w:p w14:paraId="20E5856C">
      <w:pPr>
        <w:numPr>
          <w:ilvl w:val="0"/>
          <w:numId w:val="0"/>
        </w:numPr>
        <w:spacing w:line="560" w:lineRule="exact"/>
        <w:ind w:left="1915" w:leftChars="725" w:hanging="320" w:hangingChars="10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2026年度在珠高校与珠海市人文社科类合作项目征集表</w:t>
      </w:r>
    </w:p>
    <w:p w14:paraId="62713AC1">
      <w:pPr>
        <w:spacing w:line="560" w:lineRule="exact"/>
        <w:rPr>
          <w:rFonts w:hint="eastAsia" w:ascii="仿宋" w:hAnsi="仿宋" w:eastAsia="仿宋"/>
          <w:sz w:val="32"/>
          <w:szCs w:val="32"/>
        </w:rPr>
      </w:pPr>
    </w:p>
    <w:p w14:paraId="2EB11E21">
      <w:pPr>
        <w:spacing w:line="560" w:lineRule="exact"/>
        <w:rPr>
          <w:rFonts w:hint="eastAsia" w:ascii="仿宋" w:hAnsi="仿宋" w:eastAsia="仿宋"/>
          <w:sz w:val="32"/>
          <w:szCs w:val="32"/>
        </w:rPr>
      </w:pPr>
    </w:p>
    <w:p w14:paraId="3B0BDAE0">
      <w:pPr>
        <w:spacing w:line="560" w:lineRule="exact"/>
        <w:ind w:right="1450"/>
        <w:jc w:val="right"/>
        <w:rPr>
          <w:rFonts w:hint="eastAsia" w:ascii="仿宋" w:hAnsi="仿宋" w:eastAsia="仿宋"/>
          <w:sz w:val="32"/>
          <w:szCs w:val="32"/>
        </w:rPr>
      </w:pPr>
      <w:r>
        <w:rPr>
          <w:rFonts w:hint="eastAsia" w:ascii="仿宋" w:hAnsi="仿宋" w:eastAsia="仿宋"/>
          <w:sz w:val="32"/>
          <w:szCs w:val="32"/>
        </w:rPr>
        <w:t>科研处</w:t>
      </w:r>
    </w:p>
    <w:p w14:paraId="5BBC5871">
      <w:pPr>
        <w:spacing w:line="560" w:lineRule="exact"/>
        <w:ind w:right="640"/>
        <w:jc w:val="right"/>
        <w:rPr>
          <w:rFonts w:ascii="仿宋" w:hAnsi="仿宋" w:eastAsia="仿宋"/>
          <w:sz w:val="30"/>
          <w:szCs w:val="30"/>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10</w:t>
      </w:r>
      <w:r>
        <w:rPr>
          <w:rFonts w:hint="eastAsia" w:ascii="仿宋" w:hAnsi="仿宋" w:eastAsia="仿宋"/>
          <w:sz w:val="32"/>
          <w:szCs w:val="32"/>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172A27"/>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0A6B71"/>
    <w:rsid w:val="018A0AB8"/>
    <w:rsid w:val="023A72B6"/>
    <w:rsid w:val="02453E3A"/>
    <w:rsid w:val="02B46C24"/>
    <w:rsid w:val="02D55D83"/>
    <w:rsid w:val="0337305B"/>
    <w:rsid w:val="037C086D"/>
    <w:rsid w:val="03F55422"/>
    <w:rsid w:val="04336539"/>
    <w:rsid w:val="044360DC"/>
    <w:rsid w:val="04AC2FD1"/>
    <w:rsid w:val="04C84BE0"/>
    <w:rsid w:val="05943A92"/>
    <w:rsid w:val="05F62E73"/>
    <w:rsid w:val="05FD688A"/>
    <w:rsid w:val="067B40BC"/>
    <w:rsid w:val="06987A1C"/>
    <w:rsid w:val="06A411DD"/>
    <w:rsid w:val="06F20703"/>
    <w:rsid w:val="070C16FA"/>
    <w:rsid w:val="073E2C33"/>
    <w:rsid w:val="07FB2349"/>
    <w:rsid w:val="08761568"/>
    <w:rsid w:val="08A7406D"/>
    <w:rsid w:val="08AA6BF8"/>
    <w:rsid w:val="0B9A5A77"/>
    <w:rsid w:val="0C0C2D55"/>
    <w:rsid w:val="0C3154F5"/>
    <w:rsid w:val="0C58720E"/>
    <w:rsid w:val="0D422A6F"/>
    <w:rsid w:val="0D9C3FF3"/>
    <w:rsid w:val="0DAC2802"/>
    <w:rsid w:val="0E1556D9"/>
    <w:rsid w:val="0E903DF5"/>
    <w:rsid w:val="0F487D3C"/>
    <w:rsid w:val="0FD21DC2"/>
    <w:rsid w:val="0FDB338B"/>
    <w:rsid w:val="104D6D9A"/>
    <w:rsid w:val="10976042"/>
    <w:rsid w:val="10AD5EBB"/>
    <w:rsid w:val="10DA18EF"/>
    <w:rsid w:val="10F75934"/>
    <w:rsid w:val="11C07BAE"/>
    <w:rsid w:val="120B5DF0"/>
    <w:rsid w:val="124F355E"/>
    <w:rsid w:val="12CE51BF"/>
    <w:rsid w:val="137666D7"/>
    <w:rsid w:val="139A307F"/>
    <w:rsid w:val="13B43DAE"/>
    <w:rsid w:val="14861F22"/>
    <w:rsid w:val="152619A1"/>
    <w:rsid w:val="15D64B97"/>
    <w:rsid w:val="161A6A02"/>
    <w:rsid w:val="16402143"/>
    <w:rsid w:val="169B4F09"/>
    <w:rsid w:val="16DE5A08"/>
    <w:rsid w:val="1809179F"/>
    <w:rsid w:val="192F0C1B"/>
    <w:rsid w:val="197F7338"/>
    <w:rsid w:val="19D40EFE"/>
    <w:rsid w:val="1A63777A"/>
    <w:rsid w:val="1A9455D7"/>
    <w:rsid w:val="1A9B3486"/>
    <w:rsid w:val="1BE8049C"/>
    <w:rsid w:val="1C4757CF"/>
    <w:rsid w:val="1CC95984"/>
    <w:rsid w:val="1D476D28"/>
    <w:rsid w:val="1DD701E4"/>
    <w:rsid w:val="1E2A6014"/>
    <w:rsid w:val="1E721035"/>
    <w:rsid w:val="1F6467DA"/>
    <w:rsid w:val="200302C0"/>
    <w:rsid w:val="205F062C"/>
    <w:rsid w:val="20BA09EF"/>
    <w:rsid w:val="20DD78A4"/>
    <w:rsid w:val="20E050D7"/>
    <w:rsid w:val="21142E77"/>
    <w:rsid w:val="21DE436E"/>
    <w:rsid w:val="22351EC4"/>
    <w:rsid w:val="239B06F1"/>
    <w:rsid w:val="24315539"/>
    <w:rsid w:val="24707CB6"/>
    <w:rsid w:val="24CF1D09"/>
    <w:rsid w:val="25731EF6"/>
    <w:rsid w:val="25973A11"/>
    <w:rsid w:val="26185031"/>
    <w:rsid w:val="26C91C30"/>
    <w:rsid w:val="270F62FE"/>
    <w:rsid w:val="27803091"/>
    <w:rsid w:val="27BE5AEA"/>
    <w:rsid w:val="27C771DB"/>
    <w:rsid w:val="27CC5D7D"/>
    <w:rsid w:val="289C6FF5"/>
    <w:rsid w:val="28DA7055"/>
    <w:rsid w:val="28F14494"/>
    <w:rsid w:val="29A4105C"/>
    <w:rsid w:val="29C97F80"/>
    <w:rsid w:val="2A607039"/>
    <w:rsid w:val="2A654D3E"/>
    <w:rsid w:val="2A847E05"/>
    <w:rsid w:val="2A976B12"/>
    <w:rsid w:val="2B690BB6"/>
    <w:rsid w:val="2BAA3D50"/>
    <w:rsid w:val="2BBA52E9"/>
    <w:rsid w:val="2BD80E5D"/>
    <w:rsid w:val="2CF07B2C"/>
    <w:rsid w:val="2D3A123B"/>
    <w:rsid w:val="2D773BDD"/>
    <w:rsid w:val="2D94060A"/>
    <w:rsid w:val="2EF20647"/>
    <w:rsid w:val="2EF66F26"/>
    <w:rsid w:val="2F55672F"/>
    <w:rsid w:val="304C0661"/>
    <w:rsid w:val="3122214A"/>
    <w:rsid w:val="314D58AA"/>
    <w:rsid w:val="3289677F"/>
    <w:rsid w:val="32B86555"/>
    <w:rsid w:val="33856A8E"/>
    <w:rsid w:val="33891472"/>
    <w:rsid w:val="33FB1FED"/>
    <w:rsid w:val="347704AF"/>
    <w:rsid w:val="34C72231"/>
    <w:rsid w:val="379A2D75"/>
    <w:rsid w:val="388303A3"/>
    <w:rsid w:val="38B77DA3"/>
    <w:rsid w:val="38CE02BA"/>
    <w:rsid w:val="38F86B1E"/>
    <w:rsid w:val="395E4745"/>
    <w:rsid w:val="39772C3F"/>
    <w:rsid w:val="39AE46DE"/>
    <w:rsid w:val="39C2350C"/>
    <w:rsid w:val="39FA611E"/>
    <w:rsid w:val="3B130A51"/>
    <w:rsid w:val="3B597383"/>
    <w:rsid w:val="3C232ADA"/>
    <w:rsid w:val="3CC87A60"/>
    <w:rsid w:val="3DBA4B5C"/>
    <w:rsid w:val="3E5404A6"/>
    <w:rsid w:val="3EC50F93"/>
    <w:rsid w:val="3F0E3B73"/>
    <w:rsid w:val="400412DC"/>
    <w:rsid w:val="40225712"/>
    <w:rsid w:val="40254C29"/>
    <w:rsid w:val="415E1187"/>
    <w:rsid w:val="419C038F"/>
    <w:rsid w:val="41E662F8"/>
    <w:rsid w:val="424B41AB"/>
    <w:rsid w:val="42F25A01"/>
    <w:rsid w:val="43395B6C"/>
    <w:rsid w:val="43620D37"/>
    <w:rsid w:val="43F0366A"/>
    <w:rsid w:val="44D01879"/>
    <w:rsid w:val="46113D93"/>
    <w:rsid w:val="4654131B"/>
    <w:rsid w:val="466A1470"/>
    <w:rsid w:val="46D93940"/>
    <w:rsid w:val="47B44A5C"/>
    <w:rsid w:val="48D5508E"/>
    <w:rsid w:val="49707384"/>
    <w:rsid w:val="4983003A"/>
    <w:rsid w:val="4A327118"/>
    <w:rsid w:val="4A340CAB"/>
    <w:rsid w:val="4AFA6845"/>
    <w:rsid w:val="4B286A76"/>
    <w:rsid w:val="4B9544CD"/>
    <w:rsid w:val="4BA3499B"/>
    <w:rsid w:val="4C5F441E"/>
    <w:rsid w:val="4CC92917"/>
    <w:rsid w:val="4D5B6F6C"/>
    <w:rsid w:val="4D714816"/>
    <w:rsid w:val="4D9873CC"/>
    <w:rsid w:val="4E3A158A"/>
    <w:rsid w:val="4EDA32B7"/>
    <w:rsid w:val="4EE00D35"/>
    <w:rsid w:val="4F095028"/>
    <w:rsid w:val="4F4F74F5"/>
    <w:rsid w:val="4F8F5284"/>
    <w:rsid w:val="4F933F2B"/>
    <w:rsid w:val="4F9A2751"/>
    <w:rsid w:val="4FE84FCD"/>
    <w:rsid w:val="50A218B6"/>
    <w:rsid w:val="50F82005"/>
    <w:rsid w:val="51692372"/>
    <w:rsid w:val="51D86526"/>
    <w:rsid w:val="52516713"/>
    <w:rsid w:val="527228AA"/>
    <w:rsid w:val="52812993"/>
    <w:rsid w:val="535836E7"/>
    <w:rsid w:val="53642284"/>
    <w:rsid w:val="54DB755C"/>
    <w:rsid w:val="550C1B16"/>
    <w:rsid w:val="557B5F14"/>
    <w:rsid w:val="55CF4430"/>
    <w:rsid w:val="561436C4"/>
    <w:rsid w:val="565E2FB8"/>
    <w:rsid w:val="56CC5043"/>
    <w:rsid w:val="57327D4B"/>
    <w:rsid w:val="58612B6B"/>
    <w:rsid w:val="589347A0"/>
    <w:rsid w:val="58A31D94"/>
    <w:rsid w:val="58D93D60"/>
    <w:rsid w:val="58F96A12"/>
    <w:rsid w:val="5AB81CD6"/>
    <w:rsid w:val="5B0E45DD"/>
    <w:rsid w:val="5BAC6B6D"/>
    <w:rsid w:val="5C403784"/>
    <w:rsid w:val="5C8F13A9"/>
    <w:rsid w:val="5CC92D50"/>
    <w:rsid w:val="5D230B3A"/>
    <w:rsid w:val="5D661540"/>
    <w:rsid w:val="5D701798"/>
    <w:rsid w:val="5D997ED3"/>
    <w:rsid w:val="5EFA2BC8"/>
    <w:rsid w:val="60D65B8E"/>
    <w:rsid w:val="60F50A7F"/>
    <w:rsid w:val="61444D47"/>
    <w:rsid w:val="61C801E1"/>
    <w:rsid w:val="621A63B9"/>
    <w:rsid w:val="625608F6"/>
    <w:rsid w:val="625D650A"/>
    <w:rsid w:val="627256A9"/>
    <w:rsid w:val="63281D24"/>
    <w:rsid w:val="632F1D95"/>
    <w:rsid w:val="633549C3"/>
    <w:rsid w:val="633E4C55"/>
    <w:rsid w:val="63402676"/>
    <w:rsid w:val="63652967"/>
    <w:rsid w:val="645B4871"/>
    <w:rsid w:val="64C973BA"/>
    <w:rsid w:val="64DE7068"/>
    <w:rsid w:val="6507255A"/>
    <w:rsid w:val="65342B66"/>
    <w:rsid w:val="6566788A"/>
    <w:rsid w:val="65D33436"/>
    <w:rsid w:val="65F836EF"/>
    <w:rsid w:val="66692E0D"/>
    <w:rsid w:val="66EA50AD"/>
    <w:rsid w:val="671D36A1"/>
    <w:rsid w:val="674B43C0"/>
    <w:rsid w:val="675E59B4"/>
    <w:rsid w:val="67EA04FA"/>
    <w:rsid w:val="68532D14"/>
    <w:rsid w:val="68DA785D"/>
    <w:rsid w:val="692B5075"/>
    <w:rsid w:val="69CE3AE3"/>
    <w:rsid w:val="6A4F5D5D"/>
    <w:rsid w:val="6A535EB2"/>
    <w:rsid w:val="6A5E33EB"/>
    <w:rsid w:val="6ADA1601"/>
    <w:rsid w:val="6B0D4AB2"/>
    <w:rsid w:val="6B1B4B17"/>
    <w:rsid w:val="6B2C20D0"/>
    <w:rsid w:val="6B4C7A76"/>
    <w:rsid w:val="6B681478"/>
    <w:rsid w:val="6BF332C9"/>
    <w:rsid w:val="6C0B04B5"/>
    <w:rsid w:val="6C174964"/>
    <w:rsid w:val="6C2966CB"/>
    <w:rsid w:val="6CD343AF"/>
    <w:rsid w:val="6D6C0E2A"/>
    <w:rsid w:val="6DF901E4"/>
    <w:rsid w:val="6E6B3B8F"/>
    <w:rsid w:val="6E800753"/>
    <w:rsid w:val="6F6134C3"/>
    <w:rsid w:val="6F89402D"/>
    <w:rsid w:val="704E6E85"/>
    <w:rsid w:val="70AC53E6"/>
    <w:rsid w:val="7113573E"/>
    <w:rsid w:val="717C61FC"/>
    <w:rsid w:val="729C457E"/>
    <w:rsid w:val="72A45EFF"/>
    <w:rsid w:val="72AF7BFB"/>
    <w:rsid w:val="72BA1073"/>
    <w:rsid w:val="73404930"/>
    <w:rsid w:val="73420C2D"/>
    <w:rsid w:val="73520B4E"/>
    <w:rsid w:val="73C54194"/>
    <w:rsid w:val="73E56B06"/>
    <w:rsid w:val="748969AA"/>
    <w:rsid w:val="75DA6B4D"/>
    <w:rsid w:val="764D084D"/>
    <w:rsid w:val="76B32BBF"/>
    <w:rsid w:val="76DB7C64"/>
    <w:rsid w:val="76FB599D"/>
    <w:rsid w:val="77E40661"/>
    <w:rsid w:val="782675D5"/>
    <w:rsid w:val="78473F9A"/>
    <w:rsid w:val="78BA08F4"/>
    <w:rsid w:val="78BC4EB5"/>
    <w:rsid w:val="79113E35"/>
    <w:rsid w:val="793E6DBE"/>
    <w:rsid w:val="796913AF"/>
    <w:rsid w:val="796F4B1A"/>
    <w:rsid w:val="79D91228"/>
    <w:rsid w:val="7A0A0216"/>
    <w:rsid w:val="7A1C60A8"/>
    <w:rsid w:val="7AED28D6"/>
    <w:rsid w:val="7B872DAB"/>
    <w:rsid w:val="7B984058"/>
    <w:rsid w:val="7CBB0336"/>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4"/>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1"/>
    <w:qFormat/>
    <w:uiPriority w:val="0"/>
    <w:pPr>
      <w:ind w:left="100" w:leftChars="2500"/>
    </w:pPr>
  </w:style>
  <w:style w:type="paragraph" w:styleId="7">
    <w:name w:val="Balloon Text"/>
    <w:basedOn w:val="1"/>
    <w:link w:val="30"/>
    <w:qFormat/>
    <w:uiPriority w:val="0"/>
    <w:rPr>
      <w:sz w:val="18"/>
      <w:szCs w:val="18"/>
    </w:rPr>
  </w:style>
  <w:style w:type="paragraph" w:styleId="8">
    <w:name w:val="footer"/>
    <w:basedOn w:val="1"/>
    <w:link w:val="24"/>
    <w:qFormat/>
    <w:uiPriority w:val="0"/>
    <w:pPr>
      <w:tabs>
        <w:tab w:val="center" w:pos="4153"/>
        <w:tab w:val="right" w:pos="8306"/>
      </w:tabs>
      <w:snapToGrid w:val="0"/>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333333"/>
      <w:u w:val="none"/>
    </w:rPr>
  </w:style>
  <w:style w:type="character" w:styleId="17">
    <w:name w:val="HTML Acronym"/>
    <w:basedOn w:val="13"/>
    <w:qFormat/>
    <w:uiPriority w:val="0"/>
  </w:style>
  <w:style w:type="character" w:styleId="18">
    <w:name w:val="Hyperlink"/>
    <w:basedOn w:val="13"/>
    <w:qFormat/>
    <w:uiPriority w:val="0"/>
    <w:rPr>
      <w:color w:val="0000FF" w:themeColor="hyperlink"/>
      <w:u w:val="single"/>
      <w14:textFill>
        <w14:solidFill>
          <w14:schemeClr w14:val="hlink"/>
        </w14:solidFill>
      </w14:textFill>
    </w:rPr>
  </w:style>
  <w:style w:type="table" w:customStyle="1" w:styleId="19">
    <w:name w:val="Table Normal"/>
    <w:unhideWhenUsed/>
    <w:qFormat/>
    <w:uiPriority w:val="2"/>
    <w:tblPr>
      <w:tblCellMar>
        <w:top w:w="0" w:type="dxa"/>
        <w:left w:w="0" w:type="dxa"/>
        <w:bottom w:w="0" w:type="dxa"/>
        <w:right w:w="0" w:type="dxa"/>
      </w:tblCellMar>
    </w:tblPr>
  </w:style>
  <w:style w:type="paragraph" w:styleId="20">
    <w:name w:val="List Paragraph"/>
    <w:basedOn w:val="1"/>
    <w:qFormat/>
    <w:uiPriority w:val="1"/>
  </w:style>
  <w:style w:type="paragraph" w:customStyle="1" w:styleId="21">
    <w:name w:val="Table Paragraph"/>
    <w:basedOn w:val="1"/>
    <w:qFormat/>
    <w:uiPriority w:val="1"/>
  </w:style>
  <w:style w:type="paragraph" w:customStyle="1" w:styleId="22">
    <w:name w:val="dahei"/>
    <w:basedOn w:val="1"/>
    <w:qFormat/>
    <w:uiPriority w:val="0"/>
    <w:pPr>
      <w:widowControl/>
      <w:spacing w:before="100" w:beforeAutospacing="1" w:after="100" w:afterAutospacing="1"/>
    </w:pPr>
    <w:rPr>
      <w:rFonts w:ascii="宋体" w:hAnsi="宋体" w:cs="宋体"/>
      <w:sz w:val="24"/>
    </w:rPr>
  </w:style>
  <w:style w:type="character" w:customStyle="1" w:styleId="23">
    <w:name w:val="页眉 字符"/>
    <w:basedOn w:val="13"/>
    <w:link w:val="9"/>
    <w:qFormat/>
    <w:uiPriority w:val="0"/>
    <w:rPr>
      <w:rFonts w:eastAsiaTheme="minorHAnsi"/>
      <w:sz w:val="18"/>
      <w:szCs w:val="18"/>
      <w:lang w:eastAsia="en-US"/>
    </w:rPr>
  </w:style>
  <w:style w:type="character" w:customStyle="1" w:styleId="24">
    <w:name w:val="页脚 字符"/>
    <w:basedOn w:val="13"/>
    <w:link w:val="8"/>
    <w:qFormat/>
    <w:uiPriority w:val="0"/>
    <w:rPr>
      <w:rFonts w:eastAsiaTheme="minorHAnsi"/>
      <w:sz w:val="18"/>
      <w:szCs w:val="18"/>
      <w:lang w:eastAsia="en-US"/>
    </w:rPr>
  </w:style>
  <w:style w:type="paragraph" w:customStyle="1" w:styleId="25">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6">
    <w:name w:val="lang1"/>
    <w:basedOn w:val="13"/>
    <w:qFormat/>
    <w:uiPriority w:val="0"/>
  </w:style>
  <w:style w:type="character" w:customStyle="1" w:styleId="27">
    <w:name w:val="layui-this"/>
    <w:basedOn w:val="13"/>
    <w:qFormat/>
    <w:uiPriority w:val="0"/>
    <w:rPr>
      <w:bdr w:val="single" w:color="EEEEEE" w:sz="6" w:space="0"/>
      <w:shd w:val="clear" w:color="auto" w:fill="FFFFFF"/>
    </w:rPr>
  </w:style>
  <w:style w:type="character" w:customStyle="1" w:styleId="28">
    <w:name w:val="lang0"/>
    <w:basedOn w:val="13"/>
    <w:qFormat/>
    <w:uiPriority w:val="0"/>
  </w:style>
  <w:style w:type="character" w:customStyle="1" w:styleId="29">
    <w:name w:val="first-child"/>
    <w:basedOn w:val="13"/>
    <w:qFormat/>
    <w:uiPriority w:val="0"/>
  </w:style>
  <w:style w:type="character" w:customStyle="1" w:styleId="30">
    <w:name w:val="批注框文本 字符"/>
    <w:basedOn w:val="13"/>
    <w:link w:val="7"/>
    <w:qFormat/>
    <w:uiPriority w:val="0"/>
    <w:rPr>
      <w:rFonts w:asciiTheme="minorHAnsi" w:hAnsiTheme="minorHAnsi" w:eastAsiaTheme="minorHAnsi" w:cstheme="minorBidi"/>
      <w:sz w:val="18"/>
      <w:szCs w:val="18"/>
      <w:lang w:eastAsia="en-US"/>
    </w:rPr>
  </w:style>
  <w:style w:type="character" w:customStyle="1" w:styleId="31">
    <w:name w:val="日期 字符"/>
    <w:basedOn w:val="13"/>
    <w:link w:val="6"/>
    <w:qFormat/>
    <w:uiPriority w:val="0"/>
    <w:rPr>
      <w:rFonts w:asciiTheme="minorHAnsi" w:hAnsiTheme="minorHAnsi" w:eastAsiaTheme="minorHAnsi" w:cstheme="minorBidi"/>
      <w:sz w:val="22"/>
      <w:szCs w:val="22"/>
      <w:lang w:eastAsia="en-US"/>
    </w:rPr>
  </w:style>
  <w:style w:type="character" w:customStyle="1" w:styleId="32">
    <w:name w:val="未处理的提及1"/>
    <w:basedOn w:val="13"/>
    <w:semiHidden/>
    <w:unhideWhenUsed/>
    <w:qFormat/>
    <w:uiPriority w:val="99"/>
    <w:rPr>
      <w:color w:val="605E5C"/>
      <w:shd w:val="clear" w:color="auto" w:fill="E1DFDD"/>
    </w:rPr>
  </w:style>
  <w:style w:type="character" w:customStyle="1" w:styleId="33">
    <w:name w:val="未处理的提及2"/>
    <w:basedOn w:val="13"/>
    <w:semiHidden/>
    <w:unhideWhenUsed/>
    <w:qFormat/>
    <w:uiPriority w:val="99"/>
    <w:rPr>
      <w:color w:val="605E5C"/>
      <w:shd w:val="clear" w:color="auto" w:fill="E1DFDD"/>
    </w:rPr>
  </w:style>
  <w:style w:type="character" w:customStyle="1" w:styleId="34">
    <w:name w:val="标题 3 字符"/>
    <w:basedOn w:val="13"/>
    <w:link w:val="4"/>
    <w:semiHidden/>
    <w:qFormat/>
    <w:uiPriority w:val="0"/>
    <w:rPr>
      <w:rFonts w:eastAsiaTheme="minorHAnsi"/>
      <w:b/>
      <w:bCs/>
      <w:sz w:val="32"/>
      <w:szCs w:val="32"/>
      <w:lang w:eastAsia="en-US"/>
    </w:rPr>
  </w:style>
  <w:style w:type="character" w:customStyle="1" w:styleId="35">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960</Words>
  <Characters>1043</Characters>
  <Lines>11</Lines>
  <Paragraphs>3</Paragraphs>
  <TotalTime>2</TotalTime>
  <ScaleCrop>false</ScaleCrop>
  <LinksUpToDate>false</LinksUpToDate>
  <CharactersWithSpaces>1078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禹铮</cp:lastModifiedBy>
  <cp:lastPrinted>2020-11-13T03:29:00Z</cp:lastPrinted>
  <dcterms:modified xsi:type="dcterms:W3CDTF">2026-03-10T01:35:57Z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2052-12.1.0.23542</vt:lpwstr>
  </property>
  <property fmtid="{D5CDD505-2E9C-101B-9397-08002B2CF9AE}" pid="6" name="ICV">
    <vt:lpwstr>769350BEA07545B89106AE944296A30C_12</vt:lpwstr>
  </property>
  <property fmtid="{D5CDD505-2E9C-101B-9397-08002B2CF9AE}" pid="7" name="KSOTemplateDocerSaveRecord">
    <vt:lpwstr>eyJoZGlkIjoiMDVjOWRmZWZkMTBhZGU3NzU1MGJlYjQ1YjcwYzRjZDciLCJ1c2VySWQiOiIyMDEzNzU3MDEifQ==</vt:lpwstr>
  </property>
</Properties>
</file>