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</w:p>
    <w:p>
      <w:pPr>
        <w:widowControl/>
        <w:spacing w:line="560" w:lineRule="atLeast"/>
        <w:rPr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atLeast"/>
        <w:ind w:firstLine="645"/>
        <w:jc w:val="center"/>
        <w:rPr>
          <w:color w:val="000000"/>
          <w:kern w:val="0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spacing w:val="-6"/>
          <w:kern w:val="0"/>
          <w:sz w:val="36"/>
          <w:szCs w:val="36"/>
        </w:rPr>
        <w:t>2018年度广东省教育科研重点项目申报指南</w:t>
      </w:r>
    </w:p>
    <w:tbl>
      <w:tblPr>
        <w:tblStyle w:val="3"/>
        <w:tblW w:w="96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6565"/>
        <w:gridCol w:w="18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选题指南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城镇化背景下广东省义务教育优质均衡发展的政策研究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教师教育UGS培养模式的研究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U-G-S意指师范大学-地方政府-中小学校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普通高中课程改革模式与路径研究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区县级教师培训体系及能力建设研究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健全学生体质健康监测评价管理体系研究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基础教育装备优质均衡发展对策研究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广东省校园足球全面发展支持体系研究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广东省营利性教育培训机构现状分析及对策建议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构建师德建设长效机制研究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基于学校整体发展的教师专业发展模式研究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教育行政执法的体制机制创新与模式构建研究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信息技术与教育融合创新研究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kobe</dc:creator>
  <cp:lastModifiedBy>Leon</cp:lastModifiedBy>
  <dcterms:modified xsi:type="dcterms:W3CDTF">2017-12-01T00:59:38Z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