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29</w:t>
      </w:r>
      <w:r>
        <w:rPr>
          <w:rFonts w:hint="eastAsia" w:ascii="宋体" w:hAnsi="宋体"/>
          <w:color w:val="000000"/>
          <w:sz w:val="32"/>
          <w:szCs w:val="32"/>
          <w:lang w:eastAsia="zh-CN"/>
        </w:rPr>
        <w:t>号</w:t>
      </w:r>
      <w:bookmarkEnd w:id="0"/>
    </w:p>
    <w:p w14:paraId="274F2E2E">
      <w:pPr>
        <w:spacing w:line="340" w:lineRule="exact"/>
        <w:jc w:val="center"/>
      </w:pPr>
    </w:p>
    <w:p w14:paraId="03841F6F">
      <w:pPr>
        <w:keepNext w:val="0"/>
        <w:keepLines w:val="0"/>
        <w:pageBreakBefore w:val="0"/>
        <w:widowControl w:val="0"/>
        <w:kinsoku/>
        <w:wordWrap/>
        <w:overflowPunct/>
        <w:topLinePunct w:val="0"/>
        <w:autoSpaceDE/>
        <w:autoSpaceDN/>
        <w:bidi w:val="0"/>
        <w:adjustRightInd/>
        <w:snapToGrid/>
        <w:spacing w:before="150" w:beforeLines="50" w:line="360" w:lineRule="auto"/>
        <w:jc w:val="center"/>
        <w:textAlignment w:val="auto"/>
        <w:rPr>
          <w:rFonts w:hint="eastAsia" w:asciiTheme="majorEastAsia" w:hAnsiTheme="majorEastAsia" w:eastAsiaTheme="majorEastAsia"/>
          <w:b/>
          <w:sz w:val="48"/>
          <w:szCs w:val="40"/>
          <w:lang w:eastAsia="zh-CN"/>
        </w:rPr>
      </w:pPr>
      <w:r>
        <w:rPr>
          <w:rFonts w:hint="eastAsia" w:asciiTheme="majorEastAsia" w:hAnsiTheme="majorEastAsia" w:eastAsiaTheme="majorEastAsia"/>
          <w:b/>
          <w:sz w:val="48"/>
          <w:szCs w:val="40"/>
          <w:lang w:eastAsia="zh-CN"/>
        </w:rPr>
        <w:t>关于银发科技人才试点单位征集有意愿参与银发科技人才赋能行动的退休科技工作者入库的通知</w:t>
      </w:r>
    </w:p>
    <w:p w14:paraId="5DEADF23">
      <w:pPr>
        <w:keepNext w:val="0"/>
        <w:keepLines w:val="0"/>
        <w:pageBreakBefore w:val="0"/>
        <w:widowControl w:val="0"/>
        <w:kinsoku/>
        <w:wordWrap/>
        <w:overflowPunct/>
        <w:topLinePunct w:val="0"/>
        <w:autoSpaceDE/>
        <w:autoSpaceDN/>
        <w:bidi w:val="0"/>
        <w:adjustRightInd/>
        <w:snapToGrid/>
        <w:spacing w:before="150" w:beforeLines="50" w:line="360" w:lineRule="auto"/>
        <w:jc w:val="both"/>
        <w:textAlignment w:val="auto"/>
        <w:rPr>
          <w:rFonts w:ascii="仿宋" w:hAnsi="仿宋" w:eastAsia="仿宋"/>
          <w:sz w:val="30"/>
          <w:szCs w:val="30"/>
          <w:lang w:eastAsia="zh-CN"/>
        </w:rPr>
      </w:pPr>
      <w:r>
        <w:rPr>
          <w:rFonts w:hint="eastAsia" w:ascii="仿宋" w:hAnsi="仿宋" w:eastAsia="仿宋"/>
          <w:sz w:val="30"/>
          <w:szCs w:val="30"/>
          <w:lang w:eastAsia="zh-CN"/>
        </w:rPr>
        <w:t>学校各单位：</w:t>
      </w:r>
    </w:p>
    <w:p w14:paraId="3D1C1F85">
      <w:pPr>
        <w:spacing w:line="360" w:lineRule="auto"/>
        <w:ind w:firstLine="600" w:firstLineChars="200"/>
        <w:jc w:val="both"/>
        <w:rPr>
          <w:rFonts w:hint="eastAsia" w:ascii="仿宋" w:hAnsi="仿宋" w:eastAsia="仿宋"/>
          <w:color w:val="auto"/>
          <w:sz w:val="30"/>
          <w:szCs w:val="30"/>
          <w:highlight w:val="none"/>
          <w:lang w:eastAsia="zh-CN"/>
        </w:rPr>
      </w:pPr>
      <w:r>
        <w:rPr>
          <w:rFonts w:hint="eastAsia" w:ascii="仿宋" w:hAnsi="仿宋" w:eastAsia="仿宋"/>
          <w:sz w:val="30"/>
          <w:szCs w:val="30"/>
          <w:lang w:val="en-US" w:eastAsia="zh-CN"/>
        </w:rPr>
        <w:t>依据</w:t>
      </w:r>
      <w:r>
        <w:rPr>
          <w:rFonts w:hint="eastAsia" w:ascii="仿宋" w:hAnsi="仿宋" w:eastAsia="仿宋"/>
          <w:sz w:val="30"/>
          <w:szCs w:val="30"/>
          <w:highlight w:val="none"/>
          <w:lang w:val="en-US" w:eastAsia="zh-CN"/>
        </w:rPr>
        <w:t>广东省科技厅、广东省生产力促进中心《银发科技人才试点单位征集有意愿参与银发科技人才赋能行动的退休科技工作者入库》的通知，</w:t>
      </w:r>
      <w:r>
        <w:rPr>
          <w:rFonts w:hint="eastAsia" w:ascii="仿宋" w:hAnsi="仿宋" w:eastAsia="仿宋"/>
          <w:sz w:val="30"/>
          <w:szCs w:val="30"/>
          <w:highlight w:val="none"/>
          <w:lang w:eastAsia="zh-CN"/>
        </w:rPr>
        <w:t>学校组织开展相关项目的申报工作，请有</w:t>
      </w:r>
      <w:r>
        <w:rPr>
          <w:rFonts w:hint="eastAsia" w:ascii="仿宋" w:hAnsi="仿宋" w:eastAsia="仿宋"/>
          <w:color w:val="auto"/>
          <w:sz w:val="30"/>
          <w:szCs w:val="30"/>
          <w:highlight w:val="none"/>
          <w:lang w:eastAsia="zh-CN"/>
        </w:rPr>
        <w:t>意申报该项目的教师按文件要求进行申报。</w:t>
      </w:r>
    </w:p>
    <w:p w14:paraId="60C79687">
      <w:pPr>
        <w:spacing w:line="360" w:lineRule="auto"/>
        <w:ind w:firstLine="600" w:firstLineChars="200"/>
        <w:jc w:val="both"/>
        <w:rPr>
          <w:rFonts w:hint="eastAsia" w:ascii="仿宋" w:hAnsi="仿宋" w:eastAsia="仿宋" w:cs="仿宋"/>
          <w:b w:val="0"/>
          <w:bCs w:val="0"/>
          <w:color w:val="auto"/>
          <w:kern w:val="0"/>
          <w:sz w:val="30"/>
          <w:szCs w:val="30"/>
          <w:highlight w:val="none"/>
          <w:lang w:bidi="ar"/>
        </w:rPr>
      </w:pPr>
      <w:r>
        <w:rPr>
          <w:rFonts w:hint="eastAsia" w:ascii="仿宋" w:hAnsi="仿宋" w:eastAsia="仿宋"/>
          <w:color w:val="auto"/>
          <w:sz w:val="30"/>
          <w:szCs w:val="30"/>
          <w:highlight w:val="none"/>
          <w:lang w:eastAsia="zh-CN"/>
        </w:rPr>
        <w:t>申报人</w:t>
      </w:r>
      <w:r>
        <w:rPr>
          <w:rFonts w:hint="eastAsia" w:ascii="仿宋" w:hAnsi="仿宋" w:eastAsia="仿宋"/>
          <w:b w:val="0"/>
          <w:bCs w:val="0"/>
          <w:color w:val="auto"/>
          <w:sz w:val="30"/>
          <w:szCs w:val="30"/>
          <w:highlight w:val="none"/>
          <w:lang w:val="en-US" w:eastAsia="zh-CN"/>
        </w:rPr>
        <w:t>请于</w:t>
      </w:r>
      <w:r>
        <w:rPr>
          <w:rFonts w:hint="eastAsia" w:ascii="仿宋" w:hAnsi="仿宋" w:eastAsia="仿宋"/>
          <w:b/>
          <w:bCs/>
          <w:color w:val="auto"/>
          <w:sz w:val="30"/>
          <w:szCs w:val="30"/>
          <w:highlight w:val="none"/>
          <w:lang w:val="en-US" w:eastAsia="zh-CN"/>
        </w:rPr>
        <w:t>4月15日12点前</w:t>
      </w:r>
      <w:r>
        <w:rPr>
          <w:rFonts w:hint="eastAsia" w:ascii="仿宋" w:hAnsi="仿宋" w:eastAsia="仿宋"/>
          <w:b w:val="0"/>
          <w:bCs w:val="0"/>
          <w:color w:val="auto"/>
          <w:sz w:val="30"/>
          <w:szCs w:val="30"/>
          <w:highlight w:val="none"/>
          <w:lang w:val="en-US" w:eastAsia="zh-CN"/>
        </w:rPr>
        <w:t>将银发科技人才入库表（附件</w:t>
      </w:r>
      <w:bookmarkStart w:id="1" w:name="_GoBack"/>
      <w:bookmarkEnd w:id="1"/>
      <w:r>
        <w:rPr>
          <w:rFonts w:hint="eastAsia" w:ascii="仿宋" w:hAnsi="仿宋" w:eastAsia="仿宋"/>
          <w:b w:val="0"/>
          <w:bCs w:val="0"/>
          <w:color w:val="auto"/>
          <w:sz w:val="30"/>
          <w:szCs w:val="30"/>
          <w:highlight w:val="none"/>
          <w:lang w:val="en-US" w:eastAsia="zh-CN"/>
        </w:rPr>
        <w:t>）</w:t>
      </w:r>
      <w:r>
        <w:rPr>
          <w:rFonts w:hint="eastAsia" w:ascii="仿宋" w:hAnsi="仿宋" w:eastAsia="仿宋"/>
          <w:b w:val="0"/>
          <w:bCs w:val="0"/>
          <w:color w:val="auto"/>
          <w:sz w:val="30"/>
          <w:szCs w:val="30"/>
          <w:highlight w:val="none"/>
          <w:lang w:eastAsia="zh-CN"/>
        </w:rPr>
        <w:t>通过“珠海科技学院科研服务平台”(https://kypt.zcst.edu.cn/)提交，提交步骤如下：进入系统-校级</w:t>
      </w:r>
      <w:r>
        <w:rPr>
          <w:rFonts w:hint="eastAsia" w:ascii="仿宋" w:hAnsi="仿宋" w:eastAsia="仿宋"/>
          <w:b w:val="0"/>
          <w:bCs w:val="0"/>
          <w:color w:val="auto"/>
          <w:sz w:val="30"/>
          <w:szCs w:val="30"/>
          <w:highlight w:val="none"/>
          <w:lang w:val="en-US" w:eastAsia="zh-CN"/>
        </w:rPr>
        <w:t>项目</w:t>
      </w:r>
      <w:r>
        <w:rPr>
          <w:rFonts w:hint="eastAsia" w:ascii="仿宋" w:hAnsi="仿宋" w:eastAsia="仿宋"/>
          <w:b w:val="0"/>
          <w:bCs w:val="0"/>
          <w:color w:val="auto"/>
          <w:sz w:val="30"/>
          <w:szCs w:val="30"/>
          <w:highlight w:val="none"/>
          <w:lang w:eastAsia="zh-CN"/>
        </w:rPr>
        <w:t>申报-按具体流程填报。</w:t>
      </w:r>
    </w:p>
    <w:p w14:paraId="1499ED05">
      <w:pPr>
        <w:spacing w:line="360" w:lineRule="auto"/>
        <w:ind w:firstLine="602" w:firstLineChars="200"/>
        <w:jc w:val="both"/>
        <w:rPr>
          <w:rFonts w:hint="eastAsia" w:ascii="仿宋" w:hAnsi="仿宋" w:eastAsia="仿宋"/>
          <w:b/>
          <w:sz w:val="30"/>
          <w:szCs w:val="30"/>
          <w:lang w:val="en-US" w:eastAsia="zh-CN"/>
        </w:rPr>
      </w:pPr>
      <w:r>
        <w:rPr>
          <w:rFonts w:hint="eastAsia" w:ascii="仿宋" w:hAnsi="仿宋" w:eastAsia="仿宋"/>
          <w:b/>
          <w:sz w:val="30"/>
          <w:szCs w:val="30"/>
          <w:lang w:val="en-US" w:eastAsia="zh-CN"/>
        </w:rPr>
        <w:t>一、入库资格条件</w:t>
      </w:r>
    </w:p>
    <w:p w14:paraId="4E3E5ABA">
      <w:pPr>
        <w:keepNext w:val="0"/>
        <w:keepLines w:val="0"/>
        <w:pageBreakBefore w:val="0"/>
        <w:kinsoku/>
        <w:wordWrap/>
        <w:overflowPunct/>
        <w:topLinePunct w:val="0"/>
        <w:autoSpaceDE/>
        <w:autoSpaceDN/>
        <w:bidi w:val="0"/>
        <w:adjustRightInd/>
        <w:snapToGrid/>
        <w:spacing w:line="360" w:lineRule="auto"/>
        <w:ind w:firstLine="900" w:firstLineChars="300"/>
        <w:jc w:val="both"/>
        <w:textAlignment w:val="auto"/>
        <w:rPr>
          <w:rFonts w:hint="eastAsia" w:ascii="仿宋" w:hAnsi="仿宋" w:eastAsia="仿宋"/>
          <w:b w:val="0"/>
          <w:bCs w:val="0"/>
          <w:color w:val="auto"/>
          <w:sz w:val="30"/>
          <w:szCs w:val="30"/>
          <w:lang w:eastAsia="zh-CN"/>
        </w:rPr>
      </w:pPr>
      <w:r>
        <w:rPr>
          <w:rFonts w:hint="eastAsia" w:ascii="仿宋" w:hAnsi="仿宋" w:eastAsia="仿宋"/>
          <w:b w:val="0"/>
          <w:bCs w:val="0"/>
          <w:color w:val="auto"/>
          <w:sz w:val="30"/>
          <w:szCs w:val="30"/>
          <w:lang w:eastAsia="zh-CN"/>
        </w:rPr>
        <w:t>1.达到法定退休年龄且已办理退休手续（含退休返聘人员），身体健康、掌握一技之长，能胜任相关技术服务的科技工作者。</w:t>
      </w:r>
    </w:p>
    <w:p w14:paraId="56690548">
      <w:pPr>
        <w:keepNext w:val="0"/>
        <w:keepLines w:val="0"/>
        <w:pageBreakBefore w:val="0"/>
        <w:kinsoku/>
        <w:wordWrap/>
        <w:overflowPunct/>
        <w:topLinePunct w:val="0"/>
        <w:autoSpaceDE/>
        <w:autoSpaceDN/>
        <w:bidi w:val="0"/>
        <w:adjustRightInd/>
        <w:snapToGrid/>
        <w:spacing w:line="360" w:lineRule="auto"/>
        <w:ind w:firstLine="900" w:firstLineChars="300"/>
        <w:jc w:val="both"/>
        <w:textAlignment w:val="auto"/>
        <w:rPr>
          <w:rFonts w:hint="eastAsia" w:ascii="仿宋" w:hAnsi="仿宋" w:eastAsia="仿宋"/>
          <w:b w:val="0"/>
          <w:bCs w:val="0"/>
          <w:color w:val="auto"/>
          <w:sz w:val="30"/>
          <w:szCs w:val="30"/>
          <w:lang w:eastAsia="zh-CN"/>
        </w:rPr>
      </w:pPr>
      <w:r>
        <w:rPr>
          <w:rFonts w:hint="eastAsia" w:ascii="仿宋" w:hAnsi="仿宋" w:eastAsia="仿宋"/>
          <w:b w:val="0"/>
          <w:bCs w:val="0"/>
          <w:color w:val="auto"/>
          <w:sz w:val="30"/>
          <w:szCs w:val="30"/>
          <w:lang w:eastAsia="zh-CN"/>
        </w:rPr>
        <w:t>2.具有中级及以上专业技术职称，在相关领域拥有扎实的专业知识和丰富的实践经验。</w:t>
      </w:r>
    </w:p>
    <w:p w14:paraId="77C0F185">
      <w:pPr>
        <w:keepNext w:val="0"/>
        <w:keepLines w:val="0"/>
        <w:pageBreakBefore w:val="0"/>
        <w:kinsoku/>
        <w:wordWrap/>
        <w:overflowPunct/>
        <w:topLinePunct w:val="0"/>
        <w:autoSpaceDE/>
        <w:autoSpaceDN/>
        <w:bidi w:val="0"/>
        <w:adjustRightInd/>
        <w:snapToGrid/>
        <w:spacing w:line="360" w:lineRule="auto"/>
        <w:ind w:firstLine="900" w:firstLineChars="300"/>
        <w:jc w:val="both"/>
        <w:textAlignment w:val="auto"/>
        <w:rPr>
          <w:rFonts w:hint="eastAsia" w:ascii="仿宋" w:hAnsi="仿宋" w:eastAsia="仿宋"/>
          <w:b w:val="0"/>
          <w:bCs w:val="0"/>
          <w:color w:val="auto"/>
          <w:sz w:val="30"/>
          <w:szCs w:val="30"/>
          <w:lang w:eastAsia="zh-CN"/>
        </w:rPr>
      </w:pPr>
      <w:r>
        <w:rPr>
          <w:rFonts w:hint="eastAsia" w:ascii="仿宋" w:hAnsi="仿宋" w:eastAsia="仿宋"/>
          <w:b w:val="0"/>
          <w:bCs w:val="0"/>
          <w:color w:val="auto"/>
          <w:sz w:val="30"/>
          <w:szCs w:val="30"/>
          <w:lang w:eastAsia="zh-CN"/>
        </w:rPr>
        <w:t>3.自愿参与银发科技人才赋能行动，遵守相关法律法规和规章制度，围绕我省传统产业转型升级、战略性新兴产业培育壮大、未来产业前瞻布局、岭南特色现代农业高质量发展等重点领域，愿意到省内各地市科技型企业、科研机构，并能提供技术攻关、技术指导、技术推广等智力服务。</w:t>
      </w:r>
    </w:p>
    <w:p w14:paraId="69ADC634">
      <w:pPr>
        <w:spacing w:line="360" w:lineRule="auto"/>
        <w:ind w:firstLine="602" w:firstLineChars="200"/>
        <w:jc w:val="both"/>
        <w:rPr>
          <w:rFonts w:hint="eastAsia" w:ascii="仿宋" w:hAnsi="仿宋" w:eastAsia="仿宋"/>
          <w:b/>
          <w:sz w:val="30"/>
          <w:szCs w:val="30"/>
          <w:lang w:val="en-US" w:eastAsia="zh-CN"/>
        </w:rPr>
      </w:pPr>
      <w:r>
        <w:rPr>
          <w:rFonts w:hint="eastAsia" w:ascii="仿宋" w:hAnsi="仿宋" w:eastAsia="仿宋"/>
          <w:b/>
          <w:sz w:val="30"/>
          <w:szCs w:val="30"/>
          <w:lang w:val="en-US" w:eastAsia="zh-CN"/>
        </w:rPr>
        <w:t>二、工作安排</w:t>
      </w:r>
    </w:p>
    <w:p w14:paraId="53133175">
      <w:pPr>
        <w:keepNext w:val="0"/>
        <w:keepLines w:val="0"/>
        <w:pageBreakBefore w:val="0"/>
        <w:kinsoku/>
        <w:wordWrap/>
        <w:overflowPunct/>
        <w:topLinePunct w:val="0"/>
        <w:autoSpaceDE/>
        <w:autoSpaceDN/>
        <w:bidi w:val="0"/>
        <w:adjustRightInd/>
        <w:snapToGrid/>
        <w:spacing w:line="360" w:lineRule="auto"/>
        <w:ind w:firstLine="900" w:firstLineChars="300"/>
        <w:jc w:val="both"/>
        <w:textAlignment w:val="auto"/>
        <w:rPr>
          <w:rFonts w:hint="eastAsia" w:ascii="仿宋" w:hAnsi="仿宋" w:eastAsia="仿宋"/>
          <w:b w:val="0"/>
          <w:bCs w:val="0"/>
          <w:color w:val="auto"/>
          <w:sz w:val="30"/>
          <w:szCs w:val="30"/>
          <w:lang w:val="en-US" w:eastAsia="zh-CN"/>
        </w:rPr>
      </w:pPr>
      <w:r>
        <w:rPr>
          <w:rFonts w:hint="eastAsia" w:ascii="仿宋" w:hAnsi="仿宋" w:eastAsia="仿宋"/>
          <w:b w:val="0"/>
          <w:bCs w:val="0"/>
          <w:color w:val="auto"/>
          <w:sz w:val="30"/>
          <w:szCs w:val="30"/>
          <w:lang w:val="en-US" w:eastAsia="zh-CN"/>
        </w:rPr>
        <w:t>1.请有意愿的退休科技工作者填写《2026年度广东省银发科技人才入库申请表》，如已有返聘单位、合作对象或初步合作意向的，请在申请表注明。</w:t>
      </w:r>
    </w:p>
    <w:p w14:paraId="55833F8D">
      <w:pPr>
        <w:keepNext w:val="0"/>
        <w:keepLines w:val="0"/>
        <w:pageBreakBefore w:val="0"/>
        <w:kinsoku/>
        <w:wordWrap/>
        <w:overflowPunct/>
        <w:topLinePunct w:val="0"/>
        <w:autoSpaceDE/>
        <w:autoSpaceDN/>
        <w:bidi w:val="0"/>
        <w:adjustRightInd/>
        <w:snapToGrid/>
        <w:spacing w:line="360" w:lineRule="auto"/>
        <w:ind w:firstLine="900" w:firstLineChars="300"/>
        <w:jc w:val="both"/>
        <w:textAlignment w:val="auto"/>
        <w:rPr>
          <w:rFonts w:hint="eastAsia" w:ascii="仿宋" w:hAnsi="仿宋" w:eastAsia="仿宋"/>
          <w:b w:val="0"/>
          <w:bCs w:val="0"/>
          <w:color w:val="auto"/>
          <w:sz w:val="30"/>
          <w:szCs w:val="30"/>
          <w:lang w:val="en-US" w:eastAsia="zh-CN"/>
        </w:rPr>
      </w:pPr>
      <w:r>
        <w:rPr>
          <w:rFonts w:hint="eastAsia" w:ascii="仿宋" w:hAnsi="仿宋" w:eastAsia="仿宋"/>
          <w:b w:val="0"/>
          <w:bCs w:val="0"/>
          <w:color w:val="auto"/>
          <w:sz w:val="30"/>
          <w:szCs w:val="30"/>
          <w:lang w:val="en-US" w:eastAsia="zh-CN"/>
        </w:rPr>
        <w:t>2.省科技厅、省生产力促进中心将对入库人才进行审核。按照《广东省银发科技人才赋能行动试点实施方案》（另行印发），按批次推进试点工作，并予以试点单位相应支持。</w:t>
      </w:r>
    </w:p>
    <w:p w14:paraId="2C146F83">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t xml:space="preserve">  </w:t>
      </w:r>
    </w:p>
    <w:p w14:paraId="3F7F60F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spacing w:line="560" w:lineRule="exact"/>
        <w:ind w:firstLine="645"/>
        <w:rPr>
          <w:rFonts w:ascii="仿宋" w:hAnsi="仿宋" w:eastAsia="仿宋"/>
          <w:sz w:val="32"/>
          <w:szCs w:val="32"/>
        </w:rPr>
      </w:pPr>
      <w:r>
        <w:rPr>
          <w:rFonts w:ascii="仿宋" w:hAnsi="仿宋" w:eastAsia="仿宋"/>
          <w:sz w:val="32"/>
          <w:szCs w:val="32"/>
        </w:rPr>
        <w:t xml:space="preserve">    </w:t>
      </w:r>
    </w:p>
    <w:p w14:paraId="516BC14B">
      <w:pPr>
        <w:spacing w:line="240" w:lineRule="auto"/>
        <w:ind w:left="1918" w:leftChars="290" w:hanging="1280" w:hangingChars="400"/>
        <w:rPr>
          <w:rFonts w:hint="default" w:ascii="仿宋" w:hAnsi="仿宋" w:eastAsia="仿宋"/>
          <w:sz w:val="32"/>
          <w:szCs w:val="32"/>
          <w:highlight w:val="none"/>
          <w:lang w:val="en-US" w:eastAsia="zh-CN"/>
        </w:rPr>
      </w:pPr>
      <w:r>
        <w:rPr>
          <w:rFonts w:hint="eastAsia" w:ascii="仿宋" w:hAnsi="仿宋" w:eastAsia="仿宋"/>
          <w:sz w:val="32"/>
          <w:szCs w:val="32"/>
        </w:rPr>
        <w:t>附件</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2026年度广东省银发科技人才入库申请表</w:t>
      </w:r>
    </w:p>
    <w:p w14:paraId="42BC641A">
      <w:pPr>
        <w:numPr>
          <w:ilvl w:val="0"/>
          <w:numId w:val="0"/>
        </w:numPr>
        <w:spacing w:line="560" w:lineRule="exact"/>
        <w:rPr>
          <w:rFonts w:hint="eastAsia" w:ascii="仿宋" w:hAnsi="仿宋" w:eastAsia="仿宋"/>
          <w:sz w:val="32"/>
          <w:szCs w:val="32"/>
          <w:highlight w:val="none"/>
        </w:rPr>
      </w:pPr>
    </w:p>
    <w:p w14:paraId="654600D2">
      <w:pPr>
        <w:numPr>
          <w:ilvl w:val="0"/>
          <w:numId w:val="0"/>
        </w:numPr>
        <w:spacing w:line="560" w:lineRule="exact"/>
        <w:rPr>
          <w:rFonts w:hint="eastAsia" w:ascii="仿宋" w:hAnsi="仿宋" w:eastAsia="仿宋"/>
          <w:sz w:val="32"/>
          <w:szCs w:val="32"/>
          <w:highlight w:val="none"/>
        </w:rPr>
      </w:pPr>
    </w:p>
    <w:p w14:paraId="3B0BDAE0">
      <w:pPr>
        <w:spacing w:line="560" w:lineRule="exact"/>
        <w:ind w:right="1450"/>
        <w:jc w:val="right"/>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spacing w:line="560" w:lineRule="exact"/>
        <w:ind w:right="640"/>
        <w:jc w:val="right"/>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10</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0A6B71"/>
    <w:rsid w:val="018A0AB8"/>
    <w:rsid w:val="023A72B6"/>
    <w:rsid w:val="02453E3A"/>
    <w:rsid w:val="02B46C24"/>
    <w:rsid w:val="02D55D83"/>
    <w:rsid w:val="0337305B"/>
    <w:rsid w:val="037C086D"/>
    <w:rsid w:val="03F55422"/>
    <w:rsid w:val="04336539"/>
    <w:rsid w:val="044360DC"/>
    <w:rsid w:val="04AC2FD1"/>
    <w:rsid w:val="04C84BE0"/>
    <w:rsid w:val="05943A92"/>
    <w:rsid w:val="05F62E73"/>
    <w:rsid w:val="05FD688A"/>
    <w:rsid w:val="067B40BC"/>
    <w:rsid w:val="06987A1C"/>
    <w:rsid w:val="06A411DD"/>
    <w:rsid w:val="06F20703"/>
    <w:rsid w:val="070C16FA"/>
    <w:rsid w:val="073E2C33"/>
    <w:rsid w:val="07824636"/>
    <w:rsid w:val="07FB2349"/>
    <w:rsid w:val="081B22A1"/>
    <w:rsid w:val="08761568"/>
    <w:rsid w:val="08A7406D"/>
    <w:rsid w:val="08AA6BF8"/>
    <w:rsid w:val="09894555"/>
    <w:rsid w:val="0B9A5A77"/>
    <w:rsid w:val="0C0C2D55"/>
    <w:rsid w:val="0C3154F5"/>
    <w:rsid w:val="0D422A6F"/>
    <w:rsid w:val="0D9C3FF3"/>
    <w:rsid w:val="0DAC2802"/>
    <w:rsid w:val="0E1556D9"/>
    <w:rsid w:val="0E903DF5"/>
    <w:rsid w:val="0F487D3C"/>
    <w:rsid w:val="0FD21DC2"/>
    <w:rsid w:val="0FDB338B"/>
    <w:rsid w:val="0FF95F5F"/>
    <w:rsid w:val="104D6D9A"/>
    <w:rsid w:val="10976042"/>
    <w:rsid w:val="10AD5EBB"/>
    <w:rsid w:val="10DA18EF"/>
    <w:rsid w:val="10F75934"/>
    <w:rsid w:val="11C07BAE"/>
    <w:rsid w:val="120B5DF0"/>
    <w:rsid w:val="124F355E"/>
    <w:rsid w:val="12CE51BF"/>
    <w:rsid w:val="137666D7"/>
    <w:rsid w:val="139A307F"/>
    <w:rsid w:val="13B43DAE"/>
    <w:rsid w:val="14861F22"/>
    <w:rsid w:val="152619A1"/>
    <w:rsid w:val="15D64B97"/>
    <w:rsid w:val="161A6A02"/>
    <w:rsid w:val="16402143"/>
    <w:rsid w:val="16541053"/>
    <w:rsid w:val="169B4F09"/>
    <w:rsid w:val="16DE5A08"/>
    <w:rsid w:val="172D34D2"/>
    <w:rsid w:val="1809179F"/>
    <w:rsid w:val="18D045C2"/>
    <w:rsid w:val="192F0C1B"/>
    <w:rsid w:val="197F7338"/>
    <w:rsid w:val="19D40EFE"/>
    <w:rsid w:val="1A63777A"/>
    <w:rsid w:val="1A9455D7"/>
    <w:rsid w:val="1A9B3486"/>
    <w:rsid w:val="1BE8049C"/>
    <w:rsid w:val="1C4757CF"/>
    <w:rsid w:val="1C937C7B"/>
    <w:rsid w:val="1CC142DA"/>
    <w:rsid w:val="1CC95984"/>
    <w:rsid w:val="1D476D28"/>
    <w:rsid w:val="1DD701E4"/>
    <w:rsid w:val="1E721035"/>
    <w:rsid w:val="1F6467DA"/>
    <w:rsid w:val="200302C0"/>
    <w:rsid w:val="202C7F1C"/>
    <w:rsid w:val="20340A84"/>
    <w:rsid w:val="205F062C"/>
    <w:rsid w:val="20BA09EF"/>
    <w:rsid w:val="20DD78A4"/>
    <w:rsid w:val="20E050D7"/>
    <w:rsid w:val="21142E77"/>
    <w:rsid w:val="21521B0A"/>
    <w:rsid w:val="21DE436E"/>
    <w:rsid w:val="22351EC4"/>
    <w:rsid w:val="22E4578E"/>
    <w:rsid w:val="239B06F1"/>
    <w:rsid w:val="24315539"/>
    <w:rsid w:val="24707CB6"/>
    <w:rsid w:val="24CF1D09"/>
    <w:rsid w:val="25227A45"/>
    <w:rsid w:val="25731EF6"/>
    <w:rsid w:val="25973A11"/>
    <w:rsid w:val="26185031"/>
    <w:rsid w:val="26C91C30"/>
    <w:rsid w:val="26F70C20"/>
    <w:rsid w:val="270F62FE"/>
    <w:rsid w:val="275A3A51"/>
    <w:rsid w:val="27803091"/>
    <w:rsid w:val="27BE5AEA"/>
    <w:rsid w:val="27C771DB"/>
    <w:rsid w:val="27CA6049"/>
    <w:rsid w:val="27CC5D7D"/>
    <w:rsid w:val="289C6FF5"/>
    <w:rsid w:val="28DA7055"/>
    <w:rsid w:val="28F14494"/>
    <w:rsid w:val="29A4105C"/>
    <w:rsid w:val="29C97F80"/>
    <w:rsid w:val="2A607039"/>
    <w:rsid w:val="2A654D3E"/>
    <w:rsid w:val="2A847E05"/>
    <w:rsid w:val="2A976B12"/>
    <w:rsid w:val="2B690BB6"/>
    <w:rsid w:val="2BAA3D50"/>
    <w:rsid w:val="2BBA52E9"/>
    <w:rsid w:val="2CF07B2C"/>
    <w:rsid w:val="2D3A123B"/>
    <w:rsid w:val="2D773BDD"/>
    <w:rsid w:val="2D94060A"/>
    <w:rsid w:val="2EF20647"/>
    <w:rsid w:val="2EF66F26"/>
    <w:rsid w:val="2F55672F"/>
    <w:rsid w:val="304C0661"/>
    <w:rsid w:val="30A00B77"/>
    <w:rsid w:val="311D5775"/>
    <w:rsid w:val="314D58AA"/>
    <w:rsid w:val="3289677F"/>
    <w:rsid w:val="32B86555"/>
    <w:rsid w:val="32DC7485"/>
    <w:rsid w:val="33856A8E"/>
    <w:rsid w:val="33891472"/>
    <w:rsid w:val="33FB1FED"/>
    <w:rsid w:val="347704AF"/>
    <w:rsid w:val="34C72231"/>
    <w:rsid w:val="379A2D75"/>
    <w:rsid w:val="388303A3"/>
    <w:rsid w:val="38B77DA3"/>
    <w:rsid w:val="38CE02BA"/>
    <w:rsid w:val="38F86B1E"/>
    <w:rsid w:val="395E4745"/>
    <w:rsid w:val="39772C3F"/>
    <w:rsid w:val="39AE46DE"/>
    <w:rsid w:val="39C2350C"/>
    <w:rsid w:val="39FA611E"/>
    <w:rsid w:val="3B130A51"/>
    <w:rsid w:val="3B597383"/>
    <w:rsid w:val="3B842468"/>
    <w:rsid w:val="3C232ADA"/>
    <w:rsid w:val="3CC87A60"/>
    <w:rsid w:val="3DBA4B5C"/>
    <w:rsid w:val="3E5404A6"/>
    <w:rsid w:val="3EC50F93"/>
    <w:rsid w:val="3F0E3B73"/>
    <w:rsid w:val="3F414AFD"/>
    <w:rsid w:val="400412DC"/>
    <w:rsid w:val="40225712"/>
    <w:rsid w:val="40254C29"/>
    <w:rsid w:val="40396DBD"/>
    <w:rsid w:val="408C7991"/>
    <w:rsid w:val="40DF033E"/>
    <w:rsid w:val="415E1187"/>
    <w:rsid w:val="419C038F"/>
    <w:rsid w:val="41E662F8"/>
    <w:rsid w:val="424B41AB"/>
    <w:rsid w:val="42F25A01"/>
    <w:rsid w:val="43395B6C"/>
    <w:rsid w:val="43620D37"/>
    <w:rsid w:val="43F0366A"/>
    <w:rsid w:val="44D01879"/>
    <w:rsid w:val="4654131B"/>
    <w:rsid w:val="466A1470"/>
    <w:rsid w:val="46D93940"/>
    <w:rsid w:val="47726816"/>
    <w:rsid w:val="47B44A5C"/>
    <w:rsid w:val="47C425E1"/>
    <w:rsid w:val="47F61467"/>
    <w:rsid w:val="48D5508E"/>
    <w:rsid w:val="49707384"/>
    <w:rsid w:val="4983003A"/>
    <w:rsid w:val="4A327118"/>
    <w:rsid w:val="4A340CAB"/>
    <w:rsid w:val="4AFA6845"/>
    <w:rsid w:val="4B286A76"/>
    <w:rsid w:val="4B5877C4"/>
    <w:rsid w:val="4B8B0B87"/>
    <w:rsid w:val="4B9544CD"/>
    <w:rsid w:val="4BA3499B"/>
    <w:rsid w:val="4BD44565"/>
    <w:rsid w:val="4BE310E0"/>
    <w:rsid w:val="4C5F441E"/>
    <w:rsid w:val="4CC92917"/>
    <w:rsid w:val="4D045D0C"/>
    <w:rsid w:val="4D5B6F6C"/>
    <w:rsid w:val="4D714816"/>
    <w:rsid w:val="4D7F2DF3"/>
    <w:rsid w:val="4D9873CC"/>
    <w:rsid w:val="4E3A158A"/>
    <w:rsid w:val="4EDA32B7"/>
    <w:rsid w:val="4EE00D35"/>
    <w:rsid w:val="4F095028"/>
    <w:rsid w:val="4F4F74F5"/>
    <w:rsid w:val="4F8F5284"/>
    <w:rsid w:val="4F933F2B"/>
    <w:rsid w:val="4F9A2751"/>
    <w:rsid w:val="4FE84FCD"/>
    <w:rsid w:val="50F82005"/>
    <w:rsid w:val="511D2CB6"/>
    <w:rsid w:val="51692372"/>
    <w:rsid w:val="51D86526"/>
    <w:rsid w:val="527228AA"/>
    <w:rsid w:val="52812993"/>
    <w:rsid w:val="5300132E"/>
    <w:rsid w:val="535836E7"/>
    <w:rsid w:val="53642284"/>
    <w:rsid w:val="540C54E0"/>
    <w:rsid w:val="54DB755C"/>
    <w:rsid w:val="550C1B16"/>
    <w:rsid w:val="557B5F14"/>
    <w:rsid w:val="55807CEC"/>
    <w:rsid w:val="55CF4430"/>
    <w:rsid w:val="561436C4"/>
    <w:rsid w:val="565E2FB8"/>
    <w:rsid w:val="56CC5043"/>
    <w:rsid w:val="57327D4B"/>
    <w:rsid w:val="578B7279"/>
    <w:rsid w:val="57C60CDA"/>
    <w:rsid w:val="58612B6B"/>
    <w:rsid w:val="589347A0"/>
    <w:rsid w:val="58A31D94"/>
    <w:rsid w:val="58D93D60"/>
    <w:rsid w:val="58F96A12"/>
    <w:rsid w:val="5A1A5649"/>
    <w:rsid w:val="5AB81CD6"/>
    <w:rsid w:val="5B0E45DD"/>
    <w:rsid w:val="5BAC6B6D"/>
    <w:rsid w:val="5C403784"/>
    <w:rsid w:val="5C8F13A9"/>
    <w:rsid w:val="5C9347A9"/>
    <w:rsid w:val="5CC92D50"/>
    <w:rsid w:val="5D230B3A"/>
    <w:rsid w:val="5D661540"/>
    <w:rsid w:val="5D701798"/>
    <w:rsid w:val="5D997ED3"/>
    <w:rsid w:val="5DAB70FA"/>
    <w:rsid w:val="5E9C7E59"/>
    <w:rsid w:val="5EFA2BC8"/>
    <w:rsid w:val="60822B6A"/>
    <w:rsid w:val="60D65B8E"/>
    <w:rsid w:val="60F50A7F"/>
    <w:rsid w:val="61444D47"/>
    <w:rsid w:val="61812858"/>
    <w:rsid w:val="61C801E1"/>
    <w:rsid w:val="61CF6F34"/>
    <w:rsid w:val="621A63B9"/>
    <w:rsid w:val="625608F6"/>
    <w:rsid w:val="625D650A"/>
    <w:rsid w:val="627256A9"/>
    <w:rsid w:val="63281D24"/>
    <w:rsid w:val="632F1D95"/>
    <w:rsid w:val="633549C3"/>
    <w:rsid w:val="633E4C55"/>
    <w:rsid w:val="63402676"/>
    <w:rsid w:val="63652967"/>
    <w:rsid w:val="645B4871"/>
    <w:rsid w:val="649A384C"/>
    <w:rsid w:val="64A20AB1"/>
    <w:rsid w:val="64C973BA"/>
    <w:rsid w:val="64DE7068"/>
    <w:rsid w:val="6507255A"/>
    <w:rsid w:val="65342B66"/>
    <w:rsid w:val="655E40F7"/>
    <w:rsid w:val="6566788A"/>
    <w:rsid w:val="65D33436"/>
    <w:rsid w:val="65F836EF"/>
    <w:rsid w:val="66692E0D"/>
    <w:rsid w:val="66EA50AD"/>
    <w:rsid w:val="671D36A1"/>
    <w:rsid w:val="674B43C0"/>
    <w:rsid w:val="675E59B4"/>
    <w:rsid w:val="67EA04FA"/>
    <w:rsid w:val="682E1951"/>
    <w:rsid w:val="68532D14"/>
    <w:rsid w:val="68DA785D"/>
    <w:rsid w:val="692B5075"/>
    <w:rsid w:val="69CE3AE3"/>
    <w:rsid w:val="6A4F5D5D"/>
    <w:rsid w:val="6A535EB2"/>
    <w:rsid w:val="6A5E33EB"/>
    <w:rsid w:val="6ADA1601"/>
    <w:rsid w:val="6B0D4AB2"/>
    <w:rsid w:val="6B1B4B17"/>
    <w:rsid w:val="6B2C20D0"/>
    <w:rsid w:val="6B4C7A76"/>
    <w:rsid w:val="6B681478"/>
    <w:rsid w:val="6BF332C9"/>
    <w:rsid w:val="6C0B04B5"/>
    <w:rsid w:val="6C174964"/>
    <w:rsid w:val="6C2966CB"/>
    <w:rsid w:val="6CD343AF"/>
    <w:rsid w:val="6CF1791D"/>
    <w:rsid w:val="6D6C0E2A"/>
    <w:rsid w:val="6DF901E4"/>
    <w:rsid w:val="6E6B3B8F"/>
    <w:rsid w:val="6E800753"/>
    <w:rsid w:val="6F6134C3"/>
    <w:rsid w:val="6F89402D"/>
    <w:rsid w:val="704E6E85"/>
    <w:rsid w:val="70AC53E6"/>
    <w:rsid w:val="7113573E"/>
    <w:rsid w:val="717C61FC"/>
    <w:rsid w:val="729C457E"/>
    <w:rsid w:val="72A45EFF"/>
    <w:rsid w:val="72AF7BFB"/>
    <w:rsid w:val="72BA1073"/>
    <w:rsid w:val="73404930"/>
    <w:rsid w:val="73420C2D"/>
    <w:rsid w:val="73520B4E"/>
    <w:rsid w:val="73C54194"/>
    <w:rsid w:val="73E56B06"/>
    <w:rsid w:val="748969AA"/>
    <w:rsid w:val="75DA6B4D"/>
    <w:rsid w:val="764D084D"/>
    <w:rsid w:val="76B32BBF"/>
    <w:rsid w:val="76DB7C64"/>
    <w:rsid w:val="76FB599D"/>
    <w:rsid w:val="77E40661"/>
    <w:rsid w:val="782675D5"/>
    <w:rsid w:val="78473F9A"/>
    <w:rsid w:val="78BA08F4"/>
    <w:rsid w:val="78BC4EB5"/>
    <w:rsid w:val="79113E35"/>
    <w:rsid w:val="793E6DBE"/>
    <w:rsid w:val="796913AF"/>
    <w:rsid w:val="796F4B1A"/>
    <w:rsid w:val="79D91228"/>
    <w:rsid w:val="7A0A0216"/>
    <w:rsid w:val="7A1C60A8"/>
    <w:rsid w:val="7AAB4408"/>
    <w:rsid w:val="7AB2236D"/>
    <w:rsid w:val="7AED28D6"/>
    <w:rsid w:val="7B107774"/>
    <w:rsid w:val="7B872DAB"/>
    <w:rsid w:val="7B984058"/>
    <w:rsid w:val="7CBB0336"/>
    <w:rsid w:val="7CC36955"/>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654</Words>
  <Characters>712</Characters>
  <Lines>11</Lines>
  <Paragraphs>3</Paragraphs>
  <TotalTime>68</TotalTime>
  <ScaleCrop>false</ScaleCrop>
  <LinksUpToDate>false</LinksUpToDate>
  <CharactersWithSpaces>727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2026-04-10T08:40:43Z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A85270BA1C8F423B890580A262C8A781_13</vt:lpwstr>
  </property>
  <property fmtid="{D5CDD505-2E9C-101B-9397-08002B2CF9AE}" pid="7" name="KSOTemplateDocerSaveRecord">
    <vt:lpwstr>eyJoZGlkIjoiNjVkOTBiMGIzNzIxMDlmMjY0NWIxM2Q1MTQ5MDY1NWUiLCJ1c2VySWQiOiI1MTQxMDk0OTMifQ==</vt:lpwstr>
  </property>
</Properties>
</file>