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C852E">
      <w:pPr>
        <w:jc w:val="center"/>
        <w:rPr>
          <w:rFonts w:hint="eastAsia" w:ascii="宋体" w:hAnsi="宋体" w:eastAsia="宋体"/>
          <w:color w:val="C00000"/>
          <w:w w:val="112"/>
          <w:sz w:val="82"/>
          <w:szCs w:val="82"/>
          <w:lang w:eastAsia="zh-CN"/>
        </w:rPr>
      </w:pPr>
      <w:r>
        <w:rPr>
          <w:rFonts w:hint="eastAsia" w:ascii="宋体" w:hAnsi="宋体" w:eastAsia="宋体"/>
          <w:color w:val="C00000"/>
          <w:w w:val="112"/>
          <w:sz w:val="82"/>
          <w:szCs w:val="82"/>
          <w:lang w:eastAsia="zh-CN"/>
        </w:rPr>
        <w:t>珠海科技学院科研处</w:t>
      </w:r>
    </w:p>
    <w:p w14:paraId="3F5DFE9E">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0" t="28575" r="13970" b="2857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a:effectLst/>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cRitQAAAAKAQAADwAAAAAAAAABACAAAAAiAAAAZHJzL2Rvd25yZXYueG1sUEsBAhQA&#10;FAAAAAgAh07iQIsSWNb2AQAAygMAAA4AAAAAAAAAAQAgAAAAIwEAAGRycy9lMm9Eb2MueG1sUEsF&#10;BgAAAAAGAAYAWQEAAIsFAAAAAA==&#10;">
                <v:fill on="f" focussize="0,0"/>
                <v:stroke weight="4.5pt" color="#FF0000" linestyle="thickThin" joinstyle="round"/>
                <v:imagedata o:title=""/>
                <o:lock v:ext="edit" aspectratio="f"/>
              </v:line>
            </w:pict>
          </mc:Fallback>
        </mc:AlternateContent>
      </w:r>
    </w:p>
    <w:p w14:paraId="13FDC320">
      <w:pPr>
        <w:jc w:val="right"/>
        <w:rPr>
          <w:rFonts w:ascii="宋体" w:hAnsi="宋体"/>
          <w:color w:val="000000"/>
          <w:sz w:val="32"/>
          <w:szCs w:val="32"/>
          <w:lang w:eastAsia="zh-CN"/>
        </w:rPr>
      </w:pPr>
      <w:r>
        <w:rPr>
          <w:rFonts w:hint="eastAsia" w:ascii="宋体" w:hAnsi="宋体"/>
          <w:color w:val="000000"/>
          <w:sz w:val="32"/>
          <w:szCs w:val="32"/>
          <w:lang w:eastAsia="zh-CN"/>
        </w:rPr>
        <w:t>校科字〔2025〕</w:t>
      </w:r>
      <w:r>
        <w:rPr>
          <w:rFonts w:hint="eastAsia" w:ascii="宋体" w:hAnsi="宋体"/>
          <w:color w:val="000000"/>
          <w:sz w:val="32"/>
          <w:szCs w:val="32"/>
          <w:lang w:val="en-US" w:eastAsia="zh-CN"/>
        </w:rPr>
        <w:t>99</w:t>
      </w:r>
      <w:r>
        <w:rPr>
          <w:rFonts w:hint="eastAsia" w:ascii="宋体" w:hAnsi="宋体"/>
          <w:color w:val="000000"/>
          <w:sz w:val="32"/>
          <w:szCs w:val="32"/>
          <w:lang w:eastAsia="zh-CN"/>
        </w:rPr>
        <w:t>号</w:t>
      </w:r>
      <w:bookmarkEnd w:id="0"/>
    </w:p>
    <w:p w14:paraId="1301E388">
      <w:pPr>
        <w:adjustRightInd w:val="0"/>
        <w:snapToGrid w:val="0"/>
        <w:jc w:val="center"/>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关于组织申报2025年度广东省工程研究中心的通知</w:t>
      </w:r>
    </w:p>
    <w:p w14:paraId="4A829A6B">
      <w:pPr>
        <w:spacing w:before="120" w:beforeLines="50" w:line="312" w:lineRule="auto"/>
        <w:jc w:val="both"/>
        <w:rPr>
          <w:rFonts w:hint="eastAsia" w:ascii="仿宋" w:hAnsi="仿宋" w:eastAsia="仿宋"/>
          <w:sz w:val="30"/>
          <w:szCs w:val="30"/>
          <w:lang w:eastAsia="zh-CN"/>
        </w:rPr>
      </w:pPr>
      <w:r>
        <w:rPr>
          <w:rFonts w:hint="eastAsia" w:ascii="仿宋" w:hAnsi="仿宋" w:eastAsia="仿宋"/>
          <w:sz w:val="30"/>
          <w:szCs w:val="30"/>
          <w:lang w:eastAsia="zh-CN"/>
        </w:rPr>
        <w:t>学校各单位：</w:t>
      </w:r>
    </w:p>
    <w:p w14:paraId="1922722D">
      <w:pPr>
        <w:spacing w:line="312" w:lineRule="auto"/>
        <w:ind w:firstLine="600" w:firstLineChars="200"/>
        <w:jc w:val="both"/>
        <w:rPr>
          <w:rFonts w:hint="eastAsia" w:ascii="仿宋" w:hAnsi="仿宋" w:eastAsia="仿宋"/>
          <w:sz w:val="30"/>
          <w:szCs w:val="30"/>
          <w:lang w:eastAsia="zh-CN"/>
        </w:rPr>
      </w:pPr>
      <w:bookmarkStart w:id="1" w:name="_Hlk63152268"/>
      <w:r>
        <w:rPr>
          <w:rFonts w:hint="eastAsia" w:ascii="仿宋" w:hAnsi="仿宋" w:eastAsia="仿宋"/>
          <w:sz w:val="30"/>
          <w:szCs w:val="30"/>
          <w:lang w:eastAsia="zh-CN"/>
        </w:rPr>
        <w:t>依据广东省发展与改革委员会文件《广东省发展改革委关于组织申报2025年度广东省工程研究中心的通知</w:t>
      </w:r>
      <w:r>
        <w:fldChar w:fldCharType="begin"/>
      </w:r>
      <w:r>
        <w:instrText xml:space="preserve"> HYPERLINK "https://service.weibo.com/share/share.php?url=http://gdstc.gd.gov.cn/zwgk_n/tzgg/content/post_4449061.html&amp;titl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pic=http://gdstc.gd.gov.cn/gdkjnj2017/logo.png&amp;appkey=" \t "http://gdstc.gd.gov.cn/zwgk_n/tzgg/content/_blank" \o "微博分享" </w:instrText>
      </w:r>
      <w:r>
        <w:fldChar w:fldCharType="separate"/>
      </w:r>
      <w:r>
        <w:fldChar w:fldCharType="end"/>
      </w:r>
      <w:r>
        <w:fldChar w:fldCharType="begin"/>
      </w:r>
      <w:r>
        <w:instrText xml:space="preserve"> HYPERLINK "https://connect.qq.com/widget/shareqq/index.html?url=http://gdstc.gd.gov.cn/zwgk_n/tzgg/content/post_4449061.html&amp;titl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sourc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desc=%E5%B9%BF%E4%B8%9C%E7%9C%81%E7%A7%91%E5%AD%A6%E6%8A%80%E6%9C%AF%E5%8E%85%E7%BD%91%E7%AB%99%E7%94%B1%E5%B9%BF%E4%B8%9C%E7%9C%81%E7%A7%91%E5%AD%A6%E6%8A%80%E6%9C%AF%E5%8E%85%E4%B8%BB%E5%8A%9E&amp;pics=http://gdstc.gd.gov.cn/gdkjnj2017/logo.png" \t "http://gdstc.gd.gov.cn/zwgk_n/tzgg/content/_blank" \o "QQ好友分享" </w:instrText>
      </w:r>
      <w:r>
        <w:fldChar w:fldCharType="separate"/>
      </w:r>
      <w:r>
        <w:fldChar w:fldCharType="end"/>
      </w:r>
      <w:r>
        <w:fldChar w:fldCharType="begin"/>
      </w:r>
      <w:r>
        <w:instrText xml:space="preserve"> HYPERLINK "https://sns.qzone.qq.com/cgi-bin/qzshare/cgi_qzshare_onekey?url=http://gdstc.gd.gov.cn/zwgk_n/tzgg/content/post_4449061.html&amp;titl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desc=%E5%B9%BF%E4%B8%9C%E7%9C%81%E7%A7%91%E5%AD%A6%E6%8A%80%E6%9C%AF%E5%8E%85%E7%BD%91%E7%AB%99%E7%94%B1%E5%B9%BF%E4%B8%9C%E7%9C%81%E7%A7%91%E5%AD%A6%E6%8A%80%E6%9C%AF%E5%8E%85%E4%B8%BB%E5%8A%9E&amp;summary=%E5%B9%BF%E4%B8%9C%E7%9C%81%E7%A7%91%E5%AD%A6%E6%8A%80%E6%9C%AF%E5%8E%85%E7%BD%91%E7%AB%99%E7%94%B1%E5%B9%BF%E4%B8%9C%E7%9C%81%E7%A7%91%E5%AD%A6%E6%8A%80%E6%9C%AF%E5%8E%85%E4%B8%BB%E5%8A%9E&amp;site=%E5%85%B3%E4%BA%8E%E7%BB%84%E7%BB%87%E7%94%B3%E6%8A%A52024%E5%B9%B4%E5%BA%A6%E5%B9%BF%E4%B8%9C%E7%9C%81%E5%9F%BA%E7%A1%80%E4%B8%8E%E5%BA%94%E7%94%A8%E5%9F%BA%E7%A1%80%E7%A0%94%E7%A9%B6%E5%9F%BA%E9%87%91%E4%BC%81%E4%B8%9A%E8%81%94%E5%90%88%E5%9F%BA%E9%87%91%EF%BC%88%E5%85%AC%E5%85%B1%E5%8D%AB%E7%94%9F%E4%B8%8E%E5%8C%BB%E8%8D%AF%E5%81%A5%E5%BA%B7%E9%A2%86%E5%9F%9F%EF%BC%89%E9%A1%B9%E7%9B%AE%E7%9A%84%E9%80%9A%E7%9F%A5%C2%A0%C2%A0%E5%B9%BF%E4%B8%9C%E7%9C%81%E7%A7%91%E5%AD%A6%E6%8A%80%E6%9C%AF%E5%8E%85&amp;pics=http://gdstc.gd.gov.cn/gdkjnj2017/logo.png" \t "http://gdstc.gd.gov.cn/zwgk_n/tzgg/content/_blank" \o "QQ空间分享" </w:instrText>
      </w:r>
      <w:r>
        <w:fldChar w:fldCharType="separate"/>
      </w:r>
      <w:r>
        <w:fldChar w:fldCharType="end"/>
      </w:r>
      <w:r>
        <w:rPr>
          <w:rFonts w:hint="eastAsia" w:ascii="仿宋" w:hAnsi="仿宋" w:eastAsia="仿宋"/>
          <w:sz w:val="30"/>
          <w:szCs w:val="30"/>
          <w:lang w:eastAsia="zh-CN"/>
        </w:rPr>
        <w:t>》（粤发改高技函〔2025〕1921号）</w:t>
      </w:r>
      <w:bookmarkEnd w:id="1"/>
      <w:r>
        <w:rPr>
          <w:rFonts w:hint="eastAsia" w:ascii="仿宋" w:hAnsi="仿宋" w:eastAsia="仿宋"/>
          <w:sz w:val="30"/>
          <w:szCs w:val="30"/>
          <w:lang w:eastAsia="zh-CN"/>
        </w:rPr>
        <w:t>文件要求，学校组织开展该项目的申报工作。</w:t>
      </w:r>
      <w:r>
        <w:rPr>
          <w:rFonts w:hint="eastAsia" w:ascii="仿宋" w:hAnsi="仿宋" w:eastAsia="仿宋"/>
          <w:sz w:val="30"/>
          <w:szCs w:val="30"/>
          <w:lang w:eastAsia="zh-CN"/>
        </w:rPr>
        <w:fldChar w:fldCharType="begin"/>
      </w:r>
      <w:r>
        <w:rPr>
          <w:rFonts w:hint="eastAsia" w:ascii="仿宋" w:hAnsi="仿宋" w:eastAsia="仿宋"/>
          <w:sz w:val="30"/>
          <w:szCs w:val="30"/>
          <w:lang w:eastAsia="zh-CN"/>
        </w:rPr>
        <w:instrText xml:space="preserve">HYPERLINK "请有意申报该项目的教师按文件要求进行申报准备，并于11月23日前将申报材料通过\“珠海科技学院科研服务平台(https://kypt.zcst.edu.cn/)提交，学校将统一组织相关专家进行审议并给予指导意见。</w:instrText>
      </w:r>
    </w:p>
    <w:p w14:paraId="5982E530">
      <w:pPr>
        <w:spacing w:line="312" w:lineRule="auto"/>
        <w:ind w:firstLine="600" w:firstLineChars="200"/>
        <w:jc w:val="both"/>
        <w:rPr>
          <w:rStyle w:val="18"/>
          <w:rFonts w:hint="eastAsia" w:ascii="仿宋" w:hAnsi="仿宋" w:eastAsia="仿宋"/>
          <w:color w:val="auto"/>
          <w:sz w:val="30"/>
          <w:szCs w:val="30"/>
          <w:u w:val="none"/>
          <w:lang w:eastAsia="zh-CN"/>
        </w:rPr>
      </w:pPr>
      <w:r>
        <w:rPr>
          <w:rFonts w:hint="eastAsia" w:ascii="仿宋" w:hAnsi="仿宋" w:eastAsia="仿宋"/>
          <w:sz w:val="30"/>
          <w:szCs w:val="30"/>
          <w:lang w:eastAsia="zh-CN"/>
        </w:rPr>
        <w:instrText xml:space="preserve">最终版纸质版申报材料请于11月25日下午14点前提交至科研处212。"</w:instrText>
      </w:r>
      <w:r>
        <w:rPr>
          <w:rFonts w:hint="eastAsia" w:ascii="仿宋" w:hAnsi="仿宋" w:eastAsia="仿宋"/>
          <w:sz w:val="30"/>
          <w:szCs w:val="30"/>
          <w:lang w:eastAsia="zh-CN"/>
        </w:rPr>
        <w:fldChar w:fldCharType="separate"/>
      </w:r>
      <w:r>
        <w:rPr>
          <w:rStyle w:val="18"/>
          <w:rFonts w:hint="eastAsia" w:ascii="仿宋" w:hAnsi="仿宋" w:eastAsia="仿宋"/>
          <w:color w:val="auto"/>
          <w:sz w:val="30"/>
          <w:szCs w:val="30"/>
          <w:u w:val="none"/>
          <w:lang w:eastAsia="zh-CN"/>
        </w:rPr>
        <w:t>请有意申报该项目的教师按文件要求进行申报准备，并于11月23日前将申报材料通过“珠海科技学院科研服务平台(https://kypt.zcst.edu.cn/)提交，学校将统一组织相关专家进行审议并给予指导意见。</w:t>
      </w:r>
    </w:p>
    <w:p w14:paraId="10947A1C">
      <w:pPr>
        <w:spacing w:line="312" w:lineRule="auto"/>
        <w:ind w:firstLine="600" w:firstLineChars="200"/>
        <w:jc w:val="both"/>
        <w:rPr>
          <w:rFonts w:hint="eastAsia" w:ascii="仿宋" w:hAnsi="仿宋" w:eastAsia="仿宋"/>
          <w:sz w:val="30"/>
          <w:szCs w:val="30"/>
          <w:lang w:eastAsia="zh-CN"/>
        </w:rPr>
      </w:pPr>
      <w:r>
        <w:rPr>
          <w:rStyle w:val="18"/>
          <w:rFonts w:hint="eastAsia" w:ascii="仿宋" w:hAnsi="仿宋" w:eastAsia="仿宋"/>
          <w:color w:val="auto"/>
          <w:sz w:val="30"/>
          <w:szCs w:val="30"/>
          <w:u w:val="none"/>
          <w:lang w:eastAsia="zh-CN"/>
        </w:rPr>
        <w:t>最终版纸质版申报材料请于11月25日下午14点前提交至科研处212。</w:t>
      </w:r>
      <w:r>
        <w:rPr>
          <w:rFonts w:hint="eastAsia" w:ascii="仿宋" w:hAnsi="仿宋" w:eastAsia="仿宋"/>
          <w:sz w:val="30"/>
          <w:szCs w:val="30"/>
          <w:lang w:eastAsia="zh-CN"/>
        </w:rPr>
        <w:fldChar w:fldCharType="end"/>
      </w:r>
    </w:p>
    <w:p w14:paraId="2B1D4E5A">
      <w:pPr>
        <w:spacing w:line="312" w:lineRule="auto"/>
        <w:ind w:firstLine="600" w:firstLineChars="200"/>
        <w:jc w:val="both"/>
        <w:rPr>
          <w:rFonts w:hint="eastAsia" w:ascii="仿宋" w:hAnsi="仿宋" w:eastAsia="仿宋"/>
          <w:sz w:val="30"/>
          <w:szCs w:val="30"/>
          <w:lang w:eastAsia="zh-CN"/>
        </w:rPr>
      </w:pPr>
      <w:r>
        <w:rPr>
          <w:rFonts w:hint="eastAsia" w:ascii="仿宋" w:hAnsi="仿宋" w:eastAsia="仿宋"/>
          <w:sz w:val="30"/>
          <w:szCs w:val="30"/>
          <w:lang w:eastAsia="zh-CN"/>
        </w:rPr>
        <w:t>学校可推荐申报1项。</w:t>
      </w:r>
    </w:p>
    <w:p w14:paraId="1E53A5CB">
      <w:pPr>
        <w:spacing w:line="312" w:lineRule="auto"/>
        <w:ind w:left="450"/>
        <w:jc w:val="both"/>
        <w:rPr>
          <w:rFonts w:hint="eastAsia" w:ascii="仿宋" w:hAnsi="仿宋" w:eastAsia="仿宋"/>
          <w:sz w:val="30"/>
          <w:szCs w:val="30"/>
          <w:lang w:eastAsia="zh-CN"/>
        </w:rPr>
      </w:pPr>
      <w:r>
        <w:rPr>
          <w:rFonts w:hint="eastAsia" w:ascii="仿宋" w:hAnsi="仿宋" w:eastAsia="仿宋"/>
          <w:b/>
          <w:bCs/>
          <w:sz w:val="30"/>
          <w:szCs w:val="30"/>
          <w:lang w:eastAsia="zh-CN"/>
        </w:rPr>
        <w:t>一、总体要求</w:t>
      </w:r>
    </w:p>
    <w:p w14:paraId="0A0C2116">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省工程研究中心是为提高我省产业自主创新能力和核心竞争力，突破战略性新兴产业、未来产业创新发展以及传统产业提质升级过程中的关键技术和核心装备制约，强化对国家和我省重大战略任务、重点工程的技术支撑和保障，依托企业、高校、科研机构、医院等建设的研究开发实体，是链接产业技术研发与科技成果工程化、产业化转化的桥梁和纽带，是我省重大创新平台体系的重要组成部分。</w:t>
      </w:r>
    </w:p>
    <w:p w14:paraId="0E5DEF49">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各单位申报省工程研究中心，要按照《管理办法》要求，建立先进的产业技术研发试验设施，形成具有行业领先水平、结构合理的创新团队，构建长效的“产学研用”合作机制，成为应用研究成果向工程技术转化的有效渠道、产业技术自主创新的重要源头和提升企业创新能力的支撑平台。</w:t>
      </w:r>
    </w:p>
    <w:p w14:paraId="44B17007">
      <w:pPr>
        <w:spacing w:line="312" w:lineRule="auto"/>
        <w:ind w:left="600"/>
        <w:jc w:val="both"/>
        <w:rPr>
          <w:rFonts w:hint="eastAsia" w:ascii="仿宋" w:hAnsi="仿宋" w:eastAsia="仿宋"/>
          <w:b/>
          <w:bCs/>
          <w:sz w:val="30"/>
          <w:szCs w:val="30"/>
          <w:lang w:eastAsia="zh-CN"/>
        </w:rPr>
      </w:pPr>
      <w:r>
        <w:rPr>
          <w:rFonts w:hint="eastAsia" w:ascii="仿宋" w:hAnsi="仿宋" w:eastAsia="仿宋"/>
          <w:b/>
          <w:bCs/>
          <w:sz w:val="30"/>
          <w:szCs w:val="30"/>
          <w:lang w:eastAsia="zh-CN"/>
        </w:rPr>
        <w:t>二、申报条件</w:t>
      </w:r>
    </w:p>
    <w:p w14:paraId="66239255">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申请组建省工程研究中心除应具备《管理办法》所规定的条件外，还应符合以下条件：</w:t>
      </w:r>
    </w:p>
    <w:p w14:paraId="7DB1C641">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1.研究领域原则上应符合《战略性新兴产业重点产品和服务指导目录》(国家发展改革委公告2017年第1号，见附件</w:t>
      </w:r>
      <w:r>
        <w:rPr>
          <w:rFonts w:hint="eastAsia" w:ascii="仿宋" w:hAnsi="仿宋" w:eastAsia="仿宋"/>
          <w:lang w:val="en-US" w:eastAsia="zh-CN"/>
        </w:rPr>
        <w:t>4</w:t>
      </w:r>
      <w:r>
        <w:rPr>
          <w:rFonts w:hint="eastAsia" w:ascii="仿宋" w:hAnsi="仿宋" w:eastAsia="仿宋"/>
          <w:lang w:eastAsia="zh-CN"/>
        </w:rPr>
        <w:t>)</w:t>
      </w:r>
      <w:bookmarkStart w:id="2" w:name="_GoBack"/>
      <w:bookmarkEnd w:id="2"/>
      <w:r>
        <w:rPr>
          <w:rFonts w:hint="eastAsia" w:ascii="仿宋" w:hAnsi="仿宋" w:eastAsia="仿宋"/>
          <w:lang w:eastAsia="zh-CN"/>
        </w:rPr>
        <w:t>明确的范围。优先支持新一代信息技术、高端装备、新能源、新材料、航空航天、低空经济、海洋科技、量子科技、生物制造、氢能和核聚变能、脑机接口、具身智能、第六代移动通信等领域。</w:t>
      </w:r>
    </w:p>
    <w:p w14:paraId="280FA3BA">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2.要编制建设实施方案，提出明确可行的发展思路、建设目标、研发及工程化产业化主要任务；管理和运行机制规范；要有必要的新增固定资产投资(建筑工程或新购置设备),建设期原则上不超过3年。</w:t>
      </w:r>
    </w:p>
    <w:p w14:paraId="7B08D0A3">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3.应在相关行业或领域内具有较强的影响力，研发人员总数不少于50人，其中专职研发人员不少于30人。</w:t>
      </w:r>
    </w:p>
    <w:p w14:paraId="1C38F4A7">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4.研发设备原值：高校、科研院所不少于2000万元；设计类企业不少于1000万元，制造类企业不少于2000万元。</w:t>
      </w:r>
    </w:p>
    <w:p w14:paraId="500E72D3">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5.由高校、科研院所、医院牵头组建的，研发场地应相对独立且不少于2000平方米；由企业牵头组建的，研发场地可适当放宽至不少于1000平方米。</w:t>
      </w:r>
    </w:p>
    <w:p w14:paraId="5557DF6B">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6.主持(承担)过省级以上科研计划，或主持(参与)过行业标准制定。</w:t>
      </w:r>
    </w:p>
    <w:p w14:paraId="2722F2C0">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7.未因严重违法失信行为被司法、行政机关依法列入联合惩戒对象名单。</w:t>
      </w:r>
    </w:p>
    <w:p w14:paraId="02C7724A">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8.符合国家及省其他相关规定。</w:t>
      </w:r>
    </w:p>
    <w:p w14:paraId="38783FC0">
      <w:pPr>
        <w:spacing w:line="312" w:lineRule="auto"/>
        <w:ind w:left="600"/>
        <w:jc w:val="both"/>
        <w:rPr>
          <w:rFonts w:hint="eastAsia" w:ascii="仿宋" w:hAnsi="仿宋" w:eastAsia="仿宋"/>
          <w:sz w:val="30"/>
          <w:szCs w:val="30"/>
          <w:lang w:eastAsia="zh-CN"/>
        </w:rPr>
      </w:pPr>
      <w:r>
        <w:rPr>
          <w:rFonts w:hint="eastAsia" w:ascii="仿宋" w:hAnsi="仿宋" w:eastAsia="仿宋"/>
          <w:b/>
          <w:bCs/>
          <w:sz w:val="30"/>
          <w:szCs w:val="30"/>
          <w:lang w:eastAsia="zh-CN"/>
        </w:rPr>
        <w:t>三、填报材料</w:t>
      </w:r>
    </w:p>
    <w:p w14:paraId="78326B6F">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请拟组建工程研究中心的学院根据《通知》要求，结合实际认真组织编写，确保材料真实性。具体提交材料如下：</w:t>
      </w:r>
    </w:p>
    <w:p w14:paraId="41508B7E">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1.《广东省工程研究中心建设项目申请报告》（双面打印一式四份）</w:t>
      </w:r>
    </w:p>
    <w:p w14:paraId="4A043884">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2.申报数据表（双面打印一式两份）</w:t>
      </w:r>
    </w:p>
    <w:p w14:paraId="1EF8EE55">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3.申报汇总表（双面打印一式两份）</w:t>
      </w:r>
    </w:p>
    <w:p w14:paraId="4EDBE634">
      <w:pPr>
        <w:pStyle w:val="5"/>
        <w:spacing w:before="101" w:line="312" w:lineRule="auto"/>
        <w:ind w:firstLine="619"/>
        <w:jc w:val="both"/>
        <w:rPr>
          <w:rFonts w:ascii="仿宋" w:hAnsi="仿宋" w:eastAsia="仿宋"/>
          <w:lang w:eastAsia="zh-CN"/>
        </w:rPr>
      </w:pPr>
      <w:r>
        <w:rPr>
          <w:rFonts w:hint="eastAsia" w:ascii="仿宋" w:hAnsi="仿宋" w:eastAsia="仿宋"/>
          <w:lang w:eastAsia="zh-CN"/>
        </w:rPr>
        <w:t>4.承诺书（双面打印一式两份）</w:t>
      </w:r>
    </w:p>
    <w:p w14:paraId="1037E0A7">
      <w:pPr>
        <w:pStyle w:val="5"/>
        <w:spacing w:before="101" w:line="312" w:lineRule="auto"/>
        <w:ind w:firstLine="619"/>
        <w:jc w:val="both"/>
        <w:rPr>
          <w:rFonts w:hint="eastAsia" w:ascii="仿宋" w:hAnsi="仿宋" w:eastAsia="仿宋"/>
          <w:lang w:eastAsia="zh-CN"/>
        </w:rPr>
      </w:pPr>
      <w:r>
        <w:rPr>
          <w:rFonts w:hint="eastAsia" w:ascii="仿宋" w:hAnsi="仿宋" w:eastAsia="仿宋"/>
          <w:lang w:eastAsia="zh-CN"/>
        </w:rPr>
        <w:t>5.相关作证材料（双面打印一式两份）</w:t>
      </w:r>
    </w:p>
    <w:p w14:paraId="651B42FD">
      <w:pPr>
        <w:pStyle w:val="5"/>
        <w:spacing w:before="101" w:line="312" w:lineRule="auto"/>
        <w:ind w:left="0" w:firstLine="600" w:firstLineChars="200"/>
        <w:jc w:val="both"/>
        <w:rPr>
          <w:rFonts w:hint="eastAsia" w:ascii="仿宋" w:hAnsi="仿宋" w:eastAsia="仿宋"/>
          <w:lang w:eastAsia="zh-CN"/>
        </w:rPr>
      </w:pPr>
      <w:r>
        <w:rPr>
          <w:rFonts w:hint="eastAsia" w:ascii="仿宋" w:hAnsi="仿宋" w:eastAsia="仿宋"/>
          <w:lang w:eastAsia="zh-CN"/>
        </w:rPr>
        <w:t>其他未尽事宜详见附件。</w:t>
      </w:r>
    </w:p>
    <w:p w14:paraId="61E5C58A">
      <w:pPr>
        <w:spacing w:line="324" w:lineRule="auto"/>
        <w:jc w:val="both"/>
        <w:rPr>
          <w:rFonts w:hint="eastAsia" w:ascii="仿宋" w:hAnsi="仿宋" w:eastAsiaTheme="minorEastAsia"/>
          <w:bCs/>
          <w:sz w:val="28"/>
          <w:szCs w:val="28"/>
          <w:lang w:eastAsia="zh-CN"/>
        </w:rPr>
      </w:pPr>
    </w:p>
    <w:p w14:paraId="46D832F9">
      <w:pPr>
        <w:spacing w:line="324" w:lineRule="auto"/>
        <w:ind w:firstLine="600" w:firstLineChars="200"/>
        <w:rPr>
          <w:rFonts w:hint="eastAsia"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hint="eastAsia" w:ascii="仿宋" w:hAnsi="仿宋" w:eastAsia="仿宋"/>
          <w:sz w:val="32"/>
          <w:szCs w:val="32"/>
          <w:lang w:eastAsia="zh-CN"/>
        </w:rPr>
        <w:t>0</w:t>
      </w:r>
      <w:r>
        <w:rPr>
          <w:rFonts w:ascii="仿宋" w:hAnsi="仿宋" w:eastAsia="仿宋"/>
          <w:sz w:val="32"/>
          <w:szCs w:val="32"/>
          <w:lang w:eastAsia="zh-CN"/>
        </w:rPr>
        <w:t>756</w:t>
      </w:r>
      <w:r>
        <w:rPr>
          <w:rFonts w:hint="eastAsia" w:ascii="仿宋" w:hAnsi="仿宋" w:eastAsia="仿宋"/>
          <w:sz w:val="32"/>
          <w:szCs w:val="32"/>
          <w:lang w:eastAsia="zh-CN"/>
        </w:rPr>
        <w:t>-7629875</w:t>
      </w:r>
    </w:p>
    <w:p w14:paraId="019B70EB">
      <w:pPr>
        <w:spacing w:line="324" w:lineRule="auto"/>
        <w:rPr>
          <w:rFonts w:hint="eastAsia" w:ascii="仿宋" w:hAnsi="仿宋" w:eastAsia="仿宋"/>
          <w:bCs/>
          <w:sz w:val="30"/>
          <w:szCs w:val="30"/>
          <w:lang w:eastAsia="zh-CN"/>
        </w:rPr>
      </w:pPr>
    </w:p>
    <w:p w14:paraId="7828856F">
      <w:pPr>
        <w:spacing w:line="312" w:lineRule="auto"/>
        <w:ind w:left="1860" w:leftChars="300" w:hanging="1200" w:hangingChars="400"/>
        <w:jc w:val="both"/>
        <w:rPr>
          <w:rFonts w:hint="eastAsia" w:ascii="仿宋" w:hAnsi="仿宋" w:eastAsia="仿宋" w:cs="Times New Roman"/>
          <w:kern w:val="2"/>
          <w:sz w:val="32"/>
          <w:szCs w:val="32"/>
          <w:lang w:eastAsia="zh-CN"/>
        </w:rPr>
      </w:pPr>
      <w:r>
        <w:rPr>
          <w:rFonts w:hint="eastAsia" w:ascii="仿宋" w:hAnsi="仿宋" w:eastAsia="仿宋"/>
          <w:bCs/>
          <w:sz w:val="30"/>
          <w:szCs w:val="30"/>
          <w:lang w:eastAsia="zh-CN"/>
        </w:rPr>
        <w:t>附件：</w:t>
      </w:r>
      <w:r>
        <w:rPr>
          <w:rFonts w:hint="eastAsia" w:ascii="仿宋" w:hAnsi="仿宋" w:eastAsia="仿宋" w:cs="Times New Roman"/>
          <w:kern w:val="2"/>
          <w:sz w:val="32"/>
          <w:szCs w:val="32"/>
          <w:lang w:eastAsia="zh-CN"/>
        </w:rPr>
        <w:t>1.广东省发展改革委关于组织申报2025年度广东省工程研究中心的通知</w:t>
      </w:r>
    </w:p>
    <w:p w14:paraId="4593F6D3">
      <w:pPr>
        <w:spacing w:line="312" w:lineRule="auto"/>
        <w:ind w:left="1860" w:leftChars="700" w:hanging="320" w:hangingChars="1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2.广东省教育厅办公室转发广东省发展改革委关于组织申报2025年度广东省工程研究中心的通知</w:t>
      </w:r>
    </w:p>
    <w:p w14:paraId="5870CE19">
      <w:pPr>
        <w:spacing w:line="312" w:lineRule="auto"/>
        <w:ind w:left="1937" w:leftChars="735" w:hanging="320" w:hangingChars="1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3.广东省发展改革委关于印发省工程研究中心管理办法的通知</w:t>
      </w:r>
    </w:p>
    <w:p w14:paraId="7A9F7FED">
      <w:pPr>
        <w:spacing w:line="312" w:lineRule="auto"/>
        <w:ind w:left="1540" w:leftChars="7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4.战略性新兴产业重点产品和服务指导目录</w:t>
      </w:r>
    </w:p>
    <w:p w14:paraId="53FBA80C">
      <w:pPr>
        <w:spacing w:line="312" w:lineRule="auto"/>
        <w:ind w:left="1540" w:leftChars="7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5.申报数据表</w:t>
      </w:r>
    </w:p>
    <w:p w14:paraId="786AC56C">
      <w:pPr>
        <w:spacing w:line="312" w:lineRule="auto"/>
        <w:ind w:left="1540" w:leftChars="7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6.申报汇总表</w:t>
      </w:r>
    </w:p>
    <w:p w14:paraId="3324C41C">
      <w:pPr>
        <w:spacing w:line="312" w:lineRule="auto"/>
        <w:ind w:left="1540" w:leftChars="7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7.承诺书</w:t>
      </w:r>
    </w:p>
    <w:p w14:paraId="24843406">
      <w:pPr>
        <w:spacing w:line="312" w:lineRule="auto"/>
        <w:ind w:left="1540" w:leftChars="700"/>
        <w:jc w:val="both"/>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8.广东省工程研究中心组建方案编制提纲</w:t>
      </w:r>
    </w:p>
    <w:p w14:paraId="7ECC9973">
      <w:pPr>
        <w:spacing w:line="560" w:lineRule="exact"/>
        <w:ind w:right="1600"/>
        <w:jc w:val="right"/>
        <w:rPr>
          <w:rFonts w:hint="eastAsia" w:ascii="仿宋" w:hAnsi="仿宋" w:eastAsia="仿宋"/>
          <w:sz w:val="30"/>
          <w:szCs w:val="30"/>
          <w:lang w:eastAsia="zh-CN"/>
        </w:rPr>
      </w:pPr>
    </w:p>
    <w:p w14:paraId="0A27D7BA">
      <w:pPr>
        <w:spacing w:line="560" w:lineRule="exact"/>
        <w:ind w:right="1600"/>
        <w:jc w:val="right"/>
        <w:rPr>
          <w:rFonts w:hint="eastAsia" w:ascii="仿宋" w:hAnsi="仿宋" w:eastAsia="仿宋"/>
          <w:sz w:val="30"/>
          <w:szCs w:val="30"/>
          <w:lang w:eastAsia="zh-CN"/>
        </w:rPr>
      </w:pPr>
    </w:p>
    <w:p w14:paraId="358BB34B">
      <w:pPr>
        <w:spacing w:line="560" w:lineRule="exact"/>
        <w:ind w:right="1600"/>
        <w:jc w:val="right"/>
        <w:rPr>
          <w:rFonts w:hint="eastAsia" w:ascii="仿宋" w:hAnsi="仿宋" w:eastAsia="仿宋"/>
          <w:sz w:val="30"/>
          <w:szCs w:val="30"/>
          <w:lang w:eastAsia="zh-CN"/>
        </w:rPr>
      </w:pPr>
      <w:r>
        <w:rPr>
          <w:rFonts w:hint="eastAsia" w:ascii="仿宋" w:hAnsi="仿宋" w:eastAsia="仿宋"/>
          <w:sz w:val="30"/>
          <w:szCs w:val="30"/>
          <w:lang w:eastAsia="zh-CN"/>
        </w:rPr>
        <w:t>科研处</w:t>
      </w:r>
    </w:p>
    <w:p w14:paraId="4B6A0AFA">
      <w:pPr>
        <w:spacing w:line="560" w:lineRule="exact"/>
        <w:ind w:right="940"/>
        <w:jc w:val="right"/>
        <w:rPr>
          <w:rFonts w:hint="eastAsia" w:ascii="仿宋" w:hAnsi="仿宋" w:eastAsia="仿宋"/>
          <w:sz w:val="30"/>
          <w:szCs w:val="30"/>
          <w:lang w:eastAsia="zh-CN"/>
        </w:rPr>
      </w:pPr>
      <w:r>
        <w:rPr>
          <w:rFonts w:hint="eastAsia" w:ascii="仿宋" w:hAnsi="仿宋" w:eastAsia="仿宋"/>
          <w:sz w:val="30"/>
          <w:szCs w:val="30"/>
          <w:lang w:eastAsia="zh-CN"/>
        </w:rPr>
        <w:t>2</w:t>
      </w:r>
      <w:r>
        <w:rPr>
          <w:rFonts w:ascii="仿宋" w:hAnsi="仿宋" w:eastAsia="仿宋"/>
          <w:sz w:val="30"/>
          <w:szCs w:val="30"/>
          <w:lang w:eastAsia="zh-CN"/>
        </w:rPr>
        <w:t>02</w:t>
      </w:r>
      <w:r>
        <w:rPr>
          <w:rFonts w:hint="eastAsia" w:ascii="仿宋" w:hAnsi="仿宋" w:eastAsia="仿宋"/>
          <w:sz w:val="30"/>
          <w:szCs w:val="30"/>
          <w:lang w:eastAsia="zh-CN"/>
        </w:rPr>
        <w:t>5年11月20日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12628">
    <w:pPr>
      <w:pBdr>
        <w:bottom w:val="thickThinSmallGap" w:color="FF0000" w:sz="24" w:space="2"/>
      </w:pBdr>
      <w:spacing w:line="220" w:lineRule="atLeast"/>
      <w:ind w:left="-284" w:leftChars="-129" w:right="-381" w:rightChars="-173"/>
      <w:rPr>
        <w:color w:val="FF0000"/>
      </w:rPr>
    </w:pPr>
  </w:p>
  <w:p w14:paraId="5911BA26">
    <w:pPr>
      <w:spacing w:line="440" w:lineRule="exact"/>
      <w:rPr>
        <w:rFonts w:ascii="仿宋_GB2312" w:eastAsia="仿宋_GB2312"/>
        <w:sz w:val="32"/>
        <w:szCs w:val="32"/>
      </w:rPr>
    </w:pPr>
  </w:p>
  <w:p w14:paraId="181F3A0B">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evenAndOddHeaders w:val="1"/>
  <w:drawingGridHorizontalSpacing w:val="110"/>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wYmUzYTE2ODJiMTZlMmVjNmM5ZGExYWQ3MTE3YWQ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0025"/>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2E7BDE"/>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3DE4"/>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017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22BFE"/>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AF77DE"/>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0461"/>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3A72B6"/>
    <w:rsid w:val="02B46C24"/>
    <w:rsid w:val="0337305B"/>
    <w:rsid w:val="037C086D"/>
    <w:rsid w:val="03F55422"/>
    <w:rsid w:val="04336539"/>
    <w:rsid w:val="04AC2FD1"/>
    <w:rsid w:val="04C84BE0"/>
    <w:rsid w:val="05F62E73"/>
    <w:rsid w:val="067B40BC"/>
    <w:rsid w:val="06987A1C"/>
    <w:rsid w:val="06F20703"/>
    <w:rsid w:val="070C16FA"/>
    <w:rsid w:val="073E2C33"/>
    <w:rsid w:val="07FB2349"/>
    <w:rsid w:val="08761568"/>
    <w:rsid w:val="08A7406D"/>
    <w:rsid w:val="08AA6BF8"/>
    <w:rsid w:val="0B9A5A77"/>
    <w:rsid w:val="0C0C2D55"/>
    <w:rsid w:val="0D422A6F"/>
    <w:rsid w:val="0D9C3FF3"/>
    <w:rsid w:val="0DAC2802"/>
    <w:rsid w:val="0FD21DC2"/>
    <w:rsid w:val="0FDB338B"/>
    <w:rsid w:val="104D6D9A"/>
    <w:rsid w:val="10976042"/>
    <w:rsid w:val="10DA18EF"/>
    <w:rsid w:val="10F75934"/>
    <w:rsid w:val="11C07BAE"/>
    <w:rsid w:val="120B5DF0"/>
    <w:rsid w:val="124F355E"/>
    <w:rsid w:val="12CE51BF"/>
    <w:rsid w:val="137666D7"/>
    <w:rsid w:val="139A307F"/>
    <w:rsid w:val="13B43DAE"/>
    <w:rsid w:val="152619A1"/>
    <w:rsid w:val="15D64B97"/>
    <w:rsid w:val="161A6A02"/>
    <w:rsid w:val="16402143"/>
    <w:rsid w:val="169B4F09"/>
    <w:rsid w:val="16DE5A08"/>
    <w:rsid w:val="186F760F"/>
    <w:rsid w:val="192F0C1B"/>
    <w:rsid w:val="197F7338"/>
    <w:rsid w:val="19D40EFE"/>
    <w:rsid w:val="1A63777A"/>
    <w:rsid w:val="1A9455D7"/>
    <w:rsid w:val="1A9B3486"/>
    <w:rsid w:val="1BE8049C"/>
    <w:rsid w:val="1C4757CF"/>
    <w:rsid w:val="1CC95984"/>
    <w:rsid w:val="1D126A49"/>
    <w:rsid w:val="1DD701E4"/>
    <w:rsid w:val="1E3C1DE7"/>
    <w:rsid w:val="1E721035"/>
    <w:rsid w:val="1F6467DA"/>
    <w:rsid w:val="200302C0"/>
    <w:rsid w:val="205F062C"/>
    <w:rsid w:val="20BA09EF"/>
    <w:rsid w:val="20DD78A4"/>
    <w:rsid w:val="20E050D7"/>
    <w:rsid w:val="21142E77"/>
    <w:rsid w:val="21DE436E"/>
    <w:rsid w:val="22351EC4"/>
    <w:rsid w:val="239B06F1"/>
    <w:rsid w:val="24315539"/>
    <w:rsid w:val="24707CB6"/>
    <w:rsid w:val="24CF1D09"/>
    <w:rsid w:val="25731EF6"/>
    <w:rsid w:val="25973A11"/>
    <w:rsid w:val="26185031"/>
    <w:rsid w:val="270F62FE"/>
    <w:rsid w:val="27803091"/>
    <w:rsid w:val="27C771DB"/>
    <w:rsid w:val="283174BF"/>
    <w:rsid w:val="289C6FF5"/>
    <w:rsid w:val="28DA7055"/>
    <w:rsid w:val="29A4105C"/>
    <w:rsid w:val="29C97F80"/>
    <w:rsid w:val="2A654D3E"/>
    <w:rsid w:val="2A847E05"/>
    <w:rsid w:val="2A976B12"/>
    <w:rsid w:val="2B690BB6"/>
    <w:rsid w:val="2BAA3D50"/>
    <w:rsid w:val="2BBA52E9"/>
    <w:rsid w:val="2C8E4E6E"/>
    <w:rsid w:val="2D3A123B"/>
    <w:rsid w:val="2D773BDD"/>
    <w:rsid w:val="2EF20647"/>
    <w:rsid w:val="2EF66F26"/>
    <w:rsid w:val="2F55672F"/>
    <w:rsid w:val="304C0661"/>
    <w:rsid w:val="314D58AA"/>
    <w:rsid w:val="3289677F"/>
    <w:rsid w:val="32B86555"/>
    <w:rsid w:val="33856A8E"/>
    <w:rsid w:val="33891472"/>
    <w:rsid w:val="34C72231"/>
    <w:rsid w:val="379A2D75"/>
    <w:rsid w:val="388303A3"/>
    <w:rsid w:val="38B77DA3"/>
    <w:rsid w:val="38CE02BA"/>
    <w:rsid w:val="38F86B1E"/>
    <w:rsid w:val="39772C3F"/>
    <w:rsid w:val="39AE46DE"/>
    <w:rsid w:val="39C2350C"/>
    <w:rsid w:val="39FA611E"/>
    <w:rsid w:val="3B597383"/>
    <w:rsid w:val="3C232ADA"/>
    <w:rsid w:val="3CC87A60"/>
    <w:rsid w:val="3DBA4B5C"/>
    <w:rsid w:val="3E5404A6"/>
    <w:rsid w:val="3EC50F93"/>
    <w:rsid w:val="3F0E3B73"/>
    <w:rsid w:val="400412DC"/>
    <w:rsid w:val="40225712"/>
    <w:rsid w:val="40254C29"/>
    <w:rsid w:val="415E1187"/>
    <w:rsid w:val="419C038F"/>
    <w:rsid w:val="41E662F8"/>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D714816"/>
    <w:rsid w:val="4D9873CC"/>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AB81CD6"/>
    <w:rsid w:val="5B0E45DD"/>
    <w:rsid w:val="5C403784"/>
    <w:rsid w:val="5C8F13A9"/>
    <w:rsid w:val="5CC92D50"/>
    <w:rsid w:val="5D230B3A"/>
    <w:rsid w:val="5D701798"/>
    <w:rsid w:val="5D997ED3"/>
    <w:rsid w:val="5EFA2BC8"/>
    <w:rsid w:val="5F4E2EF5"/>
    <w:rsid w:val="60D65B8E"/>
    <w:rsid w:val="60F50A7F"/>
    <w:rsid w:val="61444D47"/>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66788A"/>
    <w:rsid w:val="65D33436"/>
    <w:rsid w:val="65F836EF"/>
    <w:rsid w:val="66692E0D"/>
    <w:rsid w:val="66EA50AD"/>
    <w:rsid w:val="671D36A1"/>
    <w:rsid w:val="674B43C0"/>
    <w:rsid w:val="67BF3F7F"/>
    <w:rsid w:val="67EA04FA"/>
    <w:rsid w:val="68532D14"/>
    <w:rsid w:val="68DA785D"/>
    <w:rsid w:val="692B5075"/>
    <w:rsid w:val="69CE3AE3"/>
    <w:rsid w:val="6A4F5D5D"/>
    <w:rsid w:val="6A535EB2"/>
    <w:rsid w:val="6A5E33EB"/>
    <w:rsid w:val="6ADA1601"/>
    <w:rsid w:val="6B0D4AB2"/>
    <w:rsid w:val="6B1B4B17"/>
    <w:rsid w:val="6B2C20D0"/>
    <w:rsid w:val="6B681478"/>
    <w:rsid w:val="6C0B04B5"/>
    <w:rsid w:val="6C174964"/>
    <w:rsid w:val="6CD343AF"/>
    <w:rsid w:val="6DF901E4"/>
    <w:rsid w:val="6E6B3B8F"/>
    <w:rsid w:val="6E800753"/>
    <w:rsid w:val="6F6134C3"/>
    <w:rsid w:val="704E6E85"/>
    <w:rsid w:val="70AC53E6"/>
    <w:rsid w:val="7113573E"/>
    <w:rsid w:val="717C61FC"/>
    <w:rsid w:val="727A2CE0"/>
    <w:rsid w:val="729C457E"/>
    <w:rsid w:val="72A45EFF"/>
    <w:rsid w:val="72AF7BFB"/>
    <w:rsid w:val="72BA1073"/>
    <w:rsid w:val="73404930"/>
    <w:rsid w:val="73420C2D"/>
    <w:rsid w:val="73520B4E"/>
    <w:rsid w:val="73C54194"/>
    <w:rsid w:val="73E56B06"/>
    <w:rsid w:val="75DA6B4D"/>
    <w:rsid w:val="764D084D"/>
    <w:rsid w:val="76B32BBF"/>
    <w:rsid w:val="76DB7C64"/>
    <w:rsid w:val="76FB599D"/>
    <w:rsid w:val="77E40661"/>
    <w:rsid w:val="78473F9A"/>
    <w:rsid w:val="78BA08F4"/>
    <w:rsid w:val="78BC4EB5"/>
    <w:rsid w:val="79113E35"/>
    <w:rsid w:val="793E6DBE"/>
    <w:rsid w:val="796913AF"/>
    <w:rsid w:val="796F4B1A"/>
    <w:rsid w:val="79D91228"/>
    <w:rsid w:val="7A0A0216"/>
    <w:rsid w:val="7A1C60A8"/>
    <w:rsid w:val="7AED28D6"/>
    <w:rsid w:val="7B984058"/>
    <w:rsid w:val="7CBB0336"/>
    <w:rsid w:val="7DFF3B79"/>
    <w:rsid w:val="7E8216F9"/>
    <w:rsid w:val="7EBD212A"/>
    <w:rsid w:val="7F537229"/>
    <w:rsid w:val="7F56007D"/>
    <w:rsid w:val="7F8A38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4"/>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1"/>
    <w:qFormat/>
    <w:uiPriority w:val="0"/>
    <w:pPr>
      <w:ind w:left="100" w:leftChars="2500"/>
    </w:pPr>
  </w:style>
  <w:style w:type="paragraph" w:styleId="7">
    <w:name w:val="Balloon Text"/>
    <w:basedOn w:val="1"/>
    <w:link w:val="30"/>
    <w:qFormat/>
    <w:uiPriority w:val="0"/>
    <w:rPr>
      <w:sz w:val="18"/>
      <w:szCs w:val="18"/>
    </w:rPr>
  </w:style>
  <w:style w:type="paragraph" w:styleId="8">
    <w:name w:val="footer"/>
    <w:basedOn w:val="1"/>
    <w:link w:val="24"/>
    <w:qFormat/>
    <w:uiPriority w:val="0"/>
    <w:pPr>
      <w:tabs>
        <w:tab w:val="center" w:pos="4153"/>
        <w:tab w:val="right" w:pos="8306"/>
      </w:tabs>
      <w:snapToGrid w:val="0"/>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page number"/>
    <w:qFormat/>
    <w:uiPriority w:val="0"/>
  </w:style>
  <w:style w:type="character" w:styleId="16">
    <w:name w:val="FollowedHyperlink"/>
    <w:basedOn w:val="13"/>
    <w:qFormat/>
    <w:uiPriority w:val="0"/>
    <w:rPr>
      <w:color w:val="333333"/>
      <w:u w:val="none"/>
    </w:rPr>
  </w:style>
  <w:style w:type="character" w:styleId="17">
    <w:name w:val="HTML Acronym"/>
    <w:basedOn w:val="13"/>
    <w:qFormat/>
    <w:uiPriority w:val="0"/>
  </w:style>
  <w:style w:type="character" w:styleId="18">
    <w:name w:val="Hyperlink"/>
    <w:basedOn w:val="13"/>
    <w:qFormat/>
    <w:uiPriority w:val="0"/>
    <w:rPr>
      <w:color w:val="0000FF" w:themeColor="hyperlink"/>
      <w:u w:val="single"/>
      <w14:textFill>
        <w14:solidFill>
          <w14:schemeClr w14:val="hlink"/>
        </w14:solidFill>
      </w14:textFill>
    </w:rPr>
  </w:style>
  <w:style w:type="table" w:customStyle="1" w:styleId="19">
    <w:name w:val="Table Normal"/>
    <w:unhideWhenUsed/>
    <w:qFormat/>
    <w:uiPriority w:val="2"/>
    <w:tblPr>
      <w:tblCellMar>
        <w:top w:w="0" w:type="dxa"/>
        <w:left w:w="0" w:type="dxa"/>
        <w:bottom w:w="0" w:type="dxa"/>
        <w:right w:w="0" w:type="dxa"/>
      </w:tblCellMar>
    </w:tblPr>
  </w:style>
  <w:style w:type="paragraph" w:styleId="20">
    <w:name w:val="List Paragraph"/>
    <w:basedOn w:val="1"/>
    <w:qFormat/>
    <w:uiPriority w:val="1"/>
  </w:style>
  <w:style w:type="paragraph" w:customStyle="1" w:styleId="21">
    <w:name w:val="Table Paragraph"/>
    <w:basedOn w:val="1"/>
    <w:qFormat/>
    <w:uiPriority w:val="1"/>
  </w:style>
  <w:style w:type="paragraph" w:customStyle="1" w:styleId="22">
    <w:name w:val="dahei"/>
    <w:basedOn w:val="1"/>
    <w:qFormat/>
    <w:uiPriority w:val="0"/>
    <w:pPr>
      <w:widowControl/>
      <w:spacing w:before="100" w:beforeAutospacing="1" w:after="100" w:afterAutospacing="1"/>
    </w:pPr>
    <w:rPr>
      <w:rFonts w:ascii="宋体" w:hAnsi="宋体" w:cs="宋体"/>
      <w:sz w:val="24"/>
    </w:rPr>
  </w:style>
  <w:style w:type="character" w:customStyle="1" w:styleId="23">
    <w:name w:val="页眉 字符"/>
    <w:basedOn w:val="13"/>
    <w:link w:val="9"/>
    <w:qFormat/>
    <w:uiPriority w:val="0"/>
    <w:rPr>
      <w:rFonts w:eastAsiaTheme="minorHAnsi"/>
      <w:sz w:val="18"/>
      <w:szCs w:val="18"/>
      <w:lang w:eastAsia="en-US"/>
    </w:rPr>
  </w:style>
  <w:style w:type="character" w:customStyle="1" w:styleId="24">
    <w:name w:val="页脚 字符"/>
    <w:basedOn w:val="13"/>
    <w:link w:val="8"/>
    <w:qFormat/>
    <w:uiPriority w:val="0"/>
    <w:rPr>
      <w:rFonts w:eastAsiaTheme="minorHAnsi"/>
      <w:sz w:val="18"/>
      <w:szCs w:val="18"/>
      <w:lang w:eastAsia="en-US"/>
    </w:rPr>
  </w:style>
  <w:style w:type="paragraph" w:customStyle="1" w:styleId="25">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6">
    <w:name w:val="lang1"/>
    <w:basedOn w:val="13"/>
    <w:qFormat/>
    <w:uiPriority w:val="0"/>
  </w:style>
  <w:style w:type="character" w:customStyle="1" w:styleId="27">
    <w:name w:val="layui-this"/>
    <w:basedOn w:val="13"/>
    <w:qFormat/>
    <w:uiPriority w:val="0"/>
    <w:rPr>
      <w:bdr w:val="single" w:color="EEEEEE" w:sz="6" w:space="0"/>
      <w:shd w:val="clear" w:color="auto" w:fill="FFFFFF"/>
    </w:rPr>
  </w:style>
  <w:style w:type="character" w:customStyle="1" w:styleId="28">
    <w:name w:val="lang0"/>
    <w:basedOn w:val="13"/>
    <w:qFormat/>
    <w:uiPriority w:val="0"/>
  </w:style>
  <w:style w:type="character" w:customStyle="1" w:styleId="29">
    <w:name w:val="first-child"/>
    <w:basedOn w:val="13"/>
    <w:qFormat/>
    <w:uiPriority w:val="0"/>
  </w:style>
  <w:style w:type="character" w:customStyle="1" w:styleId="30">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1">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2">
    <w:name w:val="未处理的提及1"/>
    <w:basedOn w:val="13"/>
    <w:semiHidden/>
    <w:unhideWhenUsed/>
    <w:qFormat/>
    <w:uiPriority w:val="99"/>
    <w:rPr>
      <w:color w:val="605E5C"/>
      <w:shd w:val="clear" w:color="auto" w:fill="E1DFDD"/>
    </w:rPr>
  </w:style>
  <w:style w:type="character" w:customStyle="1" w:styleId="33">
    <w:name w:val="未处理的提及2"/>
    <w:basedOn w:val="13"/>
    <w:semiHidden/>
    <w:unhideWhenUsed/>
    <w:qFormat/>
    <w:uiPriority w:val="99"/>
    <w:rPr>
      <w:color w:val="605E5C"/>
      <w:shd w:val="clear" w:color="auto" w:fill="E1DFDD"/>
    </w:rPr>
  </w:style>
  <w:style w:type="character" w:customStyle="1" w:styleId="34">
    <w:name w:val="标题 3 字符"/>
    <w:basedOn w:val="13"/>
    <w:link w:val="4"/>
    <w:semiHidden/>
    <w:qFormat/>
    <w:uiPriority w:val="0"/>
    <w:rPr>
      <w:rFonts w:eastAsiaTheme="minorHAnsi"/>
      <w:b/>
      <w:bCs/>
      <w:sz w:val="32"/>
      <w:szCs w:val="32"/>
      <w:lang w:eastAsia="en-US"/>
    </w:rPr>
  </w:style>
  <w:style w:type="character" w:customStyle="1" w:styleId="35">
    <w:name w:val="未处理的提及3"/>
    <w:basedOn w:val="13"/>
    <w:semiHidden/>
    <w:unhideWhenUsed/>
    <w:qFormat/>
    <w:uiPriority w:val="99"/>
    <w:rPr>
      <w:color w:val="605E5C"/>
      <w:shd w:val="clear" w:color="auto" w:fill="E1DFDD"/>
    </w:rPr>
  </w:style>
  <w:style w:type="character" w:customStyle="1" w:styleId="36">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1385</Words>
  <Characters>1499</Characters>
  <Lines>170</Lines>
  <Paragraphs>143</Paragraphs>
  <TotalTime>14</TotalTime>
  <ScaleCrop>false</ScaleCrop>
  <LinksUpToDate>false</LinksUpToDate>
  <CharactersWithSpaces>1503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2025-11-20T09:55:53Z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2052-12.1.0.23542</vt:lpwstr>
  </property>
  <property fmtid="{D5CDD505-2E9C-101B-9397-08002B2CF9AE}" pid="6" name="ICV">
    <vt:lpwstr>769350BEA07545B89106AE944296A30C_12</vt:lpwstr>
  </property>
  <property fmtid="{D5CDD505-2E9C-101B-9397-08002B2CF9AE}" pid="7" name="KSOTemplateDocerSaveRecord">
    <vt:lpwstr>eyJoZGlkIjoiMDVjOWRmZWZkMTBhZGU3NzU1MGJlYjQ1YjcwYzRjZDciLCJ1c2VySWQiOiIyMDEzNzU3MDEifQ==</vt:lpwstr>
  </property>
</Properties>
</file>